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126"/>
        <w:gridCol w:w="3827"/>
        <w:gridCol w:w="5103"/>
        <w:gridCol w:w="1731"/>
      </w:tblGrid>
      <w:tr>
        <w:trPr>
          <w:trHeight w:val="380"/>
        </w:trPr>
        <w:tc>
          <w:tcPr>
            <w:tcW w:w="15230" w:type="dxa"/>
            <w:gridSpan w:val="5"/>
            <w:shd w:val="clear" w:color="auto" w:fill="DBE4F0"/>
          </w:tcPr>
          <w:p>
            <w:pPr>
              <w:pStyle w:val="TableParagraph"/>
              <w:spacing w:before="56"/>
              <w:ind w:left="244"/>
              <w:rPr>
                <w:b/>
                <w:sz w:val="24"/>
              </w:rPr>
            </w:pPr>
            <w:r>
              <w:rPr>
                <w:b/>
                <w:sz w:val="24"/>
              </w:rPr>
              <w:t>Review of PP expenditure/ PP impact statement 2018-19, Ellesmere Port Catholic High School</w:t>
            </w:r>
          </w:p>
        </w:tc>
      </w:tr>
      <w:tr>
        <w:trPr>
          <w:trHeight w:val="380"/>
        </w:trPr>
        <w:tc>
          <w:tcPr>
            <w:tcW w:w="4569" w:type="dxa"/>
            <w:gridSpan w:val="2"/>
          </w:tcPr>
          <w:p>
            <w:pPr>
              <w:pStyle w:val="TableParagraph"/>
              <w:spacing w:before="55"/>
              <w:ind w:left="822"/>
              <w:rPr>
                <w:b/>
                <w:sz w:val="24"/>
              </w:rPr>
            </w:pPr>
            <w:r>
              <w:rPr>
                <w:b/>
                <w:sz w:val="24"/>
              </w:rPr>
              <w:t>Previous Academic Year</w:t>
            </w:r>
          </w:p>
        </w:tc>
        <w:tc>
          <w:tcPr>
            <w:tcW w:w="10661" w:type="dxa"/>
            <w:gridSpan w:val="3"/>
          </w:tcPr>
          <w:p>
            <w:pPr>
              <w:pStyle w:val="TableParagraph"/>
              <w:rPr>
                <w:rFonts w:ascii="Times New Roman"/>
                <w:sz w:val="24"/>
              </w:rPr>
            </w:pPr>
          </w:p>
        </w:tc>
      </w:tr>
      <w:tr>
        <w:trPr>
          <w:trHeight w:val="380"/>
        </w:trPr>
        <w:tc>
          <w:tcPr>
            <w:tcW w:w="15230" w:type="dxa"/>
            <w:gridSpan w:val="5"/>
          </w:tcPr>
          <w:p>
            <w:pPr>
              <w:pStyle w:val="TableParagraph"/>
              <w:spacing w:before="55"/>
              <w:ind w:left="52"/>
              <w:rPr>
                <w:b/>
                <w:sz w:val="24"/>
              </w:rPr>
            </w:pPr>
            <w:r>
              <w:rPr>
                <w:b/>
                <w:sz w:val="24"/>
              </w:rPr>
              <w:t>Quality of teaching for all</w:t>
            </w:r>
          </w:p>
        </w:tc>
      </w:tr>
      <w:tr>
        <w:trPr>
          <w:trHeight w:val="1200"/>
        </w:trPr>
        <w:tc>
          <w:tcPr>
            <w:tcW w:w="2443" w:type="dxa"/>
          </w:tcPr>
          <w:p>
            <w:pPr>
              <w:pStyle w:val="TableParagraph"/>
              <w:spacing w:before="55"/>
              <w:ind w:left="102"/>
              <w:rPr>
                <w:b/>
                <w:sz w:val="24"/>
              </w:rPr>
            </w:pPr>
            <w:r>
              <w:rPr>
                <w:b/>
                <w:sz w:val="24"/>
              </w:rPr>
              <w:t>Action</w:t>
            </w:r>
          </w:p>
        </w:tc>
        <w:tc>
          <w:tcPr>
            <w:tcW w:w="2126" w:type="dxa"/>
          </w:tcPr>
          <w:p>
            <w:pPr>
              <w:pStyle w:val="TableParagraph"/>
              <w:spacing w:before="55"/>
              <w:ind w:left="103" w:right="492"/>
              <w:jc w:val="both"/>
              <w:rPr>
                <w:b/>
                <w:sz w:val="24"/>
              </w:rPr>
            </w:pPr>
            <w:r>
              <w:rPr>
                <w:b/>
                <w:sz w:val="24"/>
              </w:rPr>
              <w:t>Intended outcome</w:t>
            </w:r>
          </w:p>
        </w:tc>
        <w:tc>
          <w:tcPr>
            <w:tcW w:w="3827" w:type="dxa"/>
          </w:tcPr>
          <w:p>
            <w:pPr>
              <w:pStyle w:val="TableParagraph"/>
              <w:spacing w:before="55"/>
              <w:ind w:left="102" w:right="173"/>
              <w:rPr>
                <w:sz w:val="24"/>
              </w:rPr>
            </w:pPr>
            <w:r>
              <w:rPr>
                <w:b/>
                <w:sz w:val="24"/>
              </w:rPr>
              <w:t xml:space="preserve">Estimated impact: </w:t>
            </w:r>
            <w:r>
              <w:rPr>
                <w:sz w:val="24"/>
              </w:rPr>
              <w:t xml:space="preserve">Did you meet the success criteria? </w:t>
            </w:r>
            <w:r>
              <w:t>(Include impact on students not eligible for PP, if appropriate).</w:t>
            </w:r>
          </w:p>
        </w:tc>
        <w:tc>
          <w:tcPr>
            <w:tcW w:w="5103" w:type="dxa"/>
          </w:tcPr>
          <w:p>
            <w:pPr>
              <w:pStyle w:val="TableParagraph"/>
              <w:spacing w:before="55"/>
              <w:ind w:left="103"/>
              <w:rPr>
                <w:b/>
                <w:sz w:val="24"/>
              </w:rPr>
            </w:pPr>
            <w:r>
              <w:rPr>
                <w:b/>
                <w:sz w:val="24"/>
              </w:rPr>
              <w:t>Lessons learned</w:t>
            </w:r>
          </w:p>
          <w:p>
            <w:pPr>
              <w:pStyle w:val="TableParagraph"/>
              <w:ind w:left="103" w:right="807"/>
              <w:rPr>
                <w:sz w:val="24"/>
              </w:rPr>
            </w:pPr>
            <w:r>
              <w:t>(and whether you will continue with this approach)</w:t>
            </w:r>
          </w:p>
        </w:tc>
        <w:tc>
          <w:tcPr>
            <w:tcW w:w="1731" w:type="dxa"/>
          </w:tcPr>
          <w:p>
            <w:pPr>
              <w:pStyle w:val="TableParagraph"/>
              <w:spacing w:before="55"/>
              <w:ind w:left="103"/>
              <w:rPr>
                <w:b/>
                <w:sz w:val="24"/>
              </w:rPr>
            </w:pPr>
            <w:r>
              <w:rPr>
                <w:b/>
                <w:sz w:val="24"/>
              </w:rPr>
              <w:t>Cost</w:t>
            </w:r>
            <w:bookmarkStart w:id="0" w:name="_GoBack"/>
            <w:bookmarkEnd w:id="0"/>
          </w:p>
        </w:tc>
      </w:tr>
      <w:tr>
        <w:trPr>
          <w:trHeight w:val="680"/>
        </w:trPr>
        <w:tc>
          <w:tcPr>
            <w:tcW w:w="2443" w:type="dxa"/>
          </w:tcPr>
          <w:p>
            <w:pPr>
              <w:pStyle w:val="TableParagraph"/>
              <w:rPr>
                <w:rFonts w:eastAsia="Times New Roman"/>
                <w:sz w:val="18"/>
                <w:szCs w:val="18"/>
                <w:lang w:eastAsia="en-GB"/>
              </w:rPr>
            </w:pPr>
            <w:r>
              <w:rPr>
                <w:rFonts w:eastAsia="Times New Roman"/>
                <w:sz w:val="18"/>
                <w:szCs w:val="18"/>
                <w:lang w:eastAsia="en-GB"/>
              </w:rPr>
              <w:t>Staff CPD on effective teaching and learning strategies for PP students. With the primary focus being on developing Metacognition.  (Based on EEF toolkit)</w:t>
            </w:r>
          </w:p>
          <w:p>
            <w:pPr>
              <w:pStyle w:val="TableParagraph"/>
              <w:rPr>
                <w:rFonts w:eastAsia="Times New Roman"/>
                <w:sz w:val="18"/>
                <w:szCs w:val="18"/>
                <w:lang w:eastAsia="en-GB"/>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r>
              <w:rPr>
                <w:sz w:val="18"/>
                <w:szCs w:val="18"/>
              </w:rPr>
              <w:t>Staff CPD on good marking and feedback.</w:t>
            </w:r>
          </w:p>
        </w:tc>
        <w:tc>
          <w:tcPr>
            <w:tcW w:w="2126" w:type="dxa"/>
          </w:tcPr>
          <w:p>
            <w:pPr>
              <w:spacing w:line="288" w:lineRule="auto"/>
              <w:rPr>
                <w:rFonts w:eastAsia="Times New Roman"/>
                <w:sz w:val="18"/>
                <w:szCs w:val="18"/>
                <w:lang w:eastAsia="en-GB"/>
              </w:rPr>
            </w:pPr>
            <w:r>
              <w:rPr>
                <w:rFonts w:eastAsia="Times New Roman"/>
                <w:sz w:val="18"/>
                <w:szCs w:val="18"/>
                <w:lang w:eastAsia="en-GB"/>
              </w:rPr>
              <w:t>All PP students and particularly HA PP Boys are learning better as they are demonstrating the skills they need to learn well.</w:t>
            </w:r>
          </w:p>
          <w:p>
            <w:pPr>
              <w:spacing w:line="288" w:lineRule="auto"/>
              <w:rPr>
                <w:rFonts w:eastAsia="Times New Roman"/>
                <w:sz w:val="18"/>
                <w:szCs w:val="18"/>
                <w:lang w:eastAsia="en-GB"/>
              </w:rPr>
            </w:pPr>
          </w:p>
          <w:p>
            <w:pPr>
              <w:spacing w:line="288" w:lineRule="auto"/>
              <w:rPr>
                <w:rFonts w:eastAsia="Times New Roman"/>
                <w:sz w:val="18"/>
                <w:szCs w:val="18"/>
                <w:lang w:eastAsia="en-GB"/>
              </w:rPr>
            </w:pPr>
            <w:r>
              <w:rPr>
                <w:rFonts w:eastAsia="Times New Roman"/>
                <w:sz w:val="18"/>
                <w:szCs w:val="18"/>
                <w:lang w:eastAsia="en-GB"/>
              </w:rPr>
              <w:t>A8 milestones on attached document.</w:t>
            </w:r>
          </w:p>
          <w:p>
            <w:pPr>
              <w:spacing w:line="288" w:lineRule="auto"/>
              <w:rPr>
                <w:rFonts w:eastAsia="Times New Roman"/>
                <w:sz w:val="18"/>
                <w:szCs w:val="18"/>
                <w:lang w:eastAsia="en-GB"/>
              </w:rPr>
            </w:pPr>
          </w:p>
          <w:p>
            <w:pPr>
              <w:spacing w:line="288" w:lineRule="auto"/>
              <w:rPr>
                <w:rFonts w:eastAsia="Times New Roman"/>
                <w:sz w:val="18"/>
                <w:szCs w:val="18"/>
                <w:lang w:eastAsia="en-GB"/>
              </w:rPr>
            </w:pPr>
          </w:p>
          <w:p>
            <w:pPr>
              <w:rPr>
                <w:rFonts w:eastAsia="Times New Roman"/>
                <w:sz w:val="18"/>
                <w:szCs w:val="18"/>
                <w:lang w:eastAsia="en-GB"/>
              </w:rPr>
            </w:pPr>
            <w:r>
              <w:rPr>
                <w:rFonts w:eastAsia="Times New Roman"/>
                <w:sz w:val="18"/>
                <w:szCs w:val="18"/>
                <w:lang w:eastAsia="en-GB"/>
              </w:rPr>
              <w:t>Improved progress as a result of oral &amp; written feedback in all subjects in particularly English &amp; Maths which makes sure that each PP student and particularly HA boys are clear about what they are doing well and what they need to do to improve and make further progress.</w:t>
            </w:r>
          </w:p>
          <w:p>
            <w:pPr>
              <w:spacing w:line="288" w:lineRule="auto"/>
              <w:rPr>
                <w:rFonts w:eastAsia="Times New Roman"/>
                <w:sz w:val="18"/>
                <w:szCs w:val="18"/>
                <w:lang w:eastAsia="en-GB"/>
              </w:rPr>
            </w:pPr>
          </w:p>
          <w:p>
            <w:pPr>
              <w:pStyle w:val="TableParagraph"/>
              <w:rPr>
                <w:sz w:val="18"/>
                <w:szCs w:val="18"/>
              </w:rPr>
            </w:pPr>
          </w:p>
        </w:tc>
        <w:tc>
          <w:tcPr>
            <w:tcW w:w="3827" w:type="dxa"/>
          </w:tcPr>
          <w:p>
            <w:pPr>
              <w:rPr>
                <w:sz w:val="18"/>
                <w:szCs w:val="18"/>
              </w:rPr>
            </w:pPr>
            <w:r>
              <w:rPr>
                <w:sz w:val="18"/>
                <w:szCs w:val="18"/>
              </w:rPr>
              <w:t xml:space="preserve">The class of 2019 indicates an annual improvement in the progress of PP students (from -0.86 in 2017 to -0.65 in 2019) but there is still significant work to do to close the gap (Particularly for the class of 2020).  </w:t>
            </w:r>
          </w:p>
          <w:p>
            <w:pPr>
              <w:rPr>
                <w:sz w:val="18"/>
                <w:szCs w:val="18"/>
              </w:rPr>
            </w:pPr>
          </w:p>
          <w:p>
            <w:pPr>
              <w:rPr>
                <w:sz w:val="18"/>
                <w:szCs w:val="18"/>
              </w:rPr>
            </w:pPr>
            <w:r>
              <w:rPr>
                <w:sz w:val="18"/>
                <w:szCs w:val="18"/>
              </w:rPr>
              <w:t xml:space="preserve">Gaps for the GCSE classes of 2021 and beyond have closed significantly.  </w:t>
            </w:r>
            <w:r>
              <w:rPr>
                <w:i/>
                <w:sz w:val="18"/>
                <w:szCs w:val="18"/>
                <w:u w:val="single"/>
              </w:rPr>
              <w:t>Please refer to the additional information below as to outcomes from 2018-19.</w:t>
            </w:r>
          </w:p>
          <w:p>
            <w:pPr>
              <w:rPr>
                <w:sz w:val="18"/>
                <w:szCs w:val="18"/>
              </w:rPr>
            </w:pPr>
          </w:p>
          <w:p>
            <w:pPr>
              <w:rPr>
                <w:sz w:val="18"/>
                <w:szCs w:val="18"/>
              </w:rPr>
            </w:pPr>
            <w:r>
              <w:rPr>
                <w:sz w:val="18"/>
                <w:szCs w:val="18"/>
              </w:rPr>
              <w:t xml:space="preserve">Evidence from the school’s monitoring and evaluation of teaching &amp; learning shows that staff are supporting the PP students within the classroom.  (Supported by the PP review day, June 2019).  Staff are effectively applying a PP first approach for example within book marking (English, History, Geography, and MFL), questioning and parental communication.   </w:t>
            </w:r>
          </w:p>
          <w:p>
            <w:pPr>
              <w:rPr>
                <w:sz w:val="18"/>
                <w:szCs w:val="18"/>
              </w:rPr>
            </w:pPr>
          </w:p>
          <w:p>
            <w:pPr>
              <w:rPr>
                <w:sz w:val="18"/>
                <w:szCs w:val="18"/>
              </w:rPr>
            </w:pPr>
            <w:r>
              <w:rPr>
                <w:sz w:val="18"/>
                <w:szCs w:val="18"/>
              </w:rPr>
              <w:t>This has been supported through weekly staff briefings based on evidence from the EEF which has provided staff with up to date information effective strategies to support PP students.</w:t>
            </w:r>
          </w:p>
          <w:p>
            <w:pPr>
              <w:pStyle w:val="TableParagraph"/>
              <w:rPr>
                <w:sz w:val="18"/>
                <w:szCs w:val="18"/>
              </w:rPr>
            </w:pPr>
          </w:p>
          <w:p>
            <w:pPr>
              <w:pStyle w:val="TableParagraph"/>
              <w:rPr>
                <w:sz w:val="18"/>
                <w:szCs w:val="18"/>
              </w:rPr>
            </w:pPr>
            <w:r>
              <w:rPr>
                <w:sz w:val="18"/>
                <w:szCs w:val="18"/>
              </w:rPr>
              <w:t xml:space="preserve">Some good examples of verbal and written feedback that has been evidenced through learning walks and book scrutinises (Supported by the PP review day, June 2019). Some subjects (English, Geography, History, RE, MFL) have demonstrated good EBI’s for students and this helps them to make further progress.  However improving the consistency and quality of feedback and students’ response to feedback is still an area of development. </w:t>
            </w:r>
          </w:p>
        </w:tc>
        <w:tc>
          <w:tcPr>
            <w:tcW w:w="5103" w:type="dxa"/>
          </w:tcPr>
          <w:p>
            <w:pPr>
              <w:pStyle w:val="TableParagraph"/>
              <w:numPr>
                <w:ilvl w:val="0"/>
                <w:numId w:val="12"/>
              </w:numPr>
              <w:ind w:left="349" w:hanging="284"/>
              <w:rPr>
                <w:sz w:val="18"/>
                <w:szCs w:val="18"/>
              </w:rPr>
            </w:pPr>
            <w:r>
              <w:rPr>
                <w:sz w:val="18"/>
                <w:szCs w:val="18"/>
              </w:rPr>
              <w:t>Regular (weekly) staff briefing of PP students and strategies has been successful in establishing a common PP focus across all staff, this will continue in 2019-20.</w:t>
            </w:r>
          </w:p>
          <w:p>
            <w:pPr>
              <w:pStyle w:val="TableParagraph"/>
              <w:numPr>
                <w:ilvl w:val="0"/>
                <w:numId w:val="12"/>
              </w:numPr>
              <w:ind w:left="349" w:hanging="284"/>
              <w:rPr>
                <w:sz w:val="18"/>
                <w:szCs w:val="18"/>
              </w:rPr>
            </w:pPr>
            <w:r>
              <w:rPr>
                <w:sz w:val="18"/>
                <w:szCs w:val="18"/>
              </w:rPr>
              <w:t>Specific monthly/ half termly PP action points will be trialed by departments and impact feedback to the PP champions.</w:t>
            </w:r>
          </w:p>
          <w:p>
            <w:pPr>
              <w:pStyle w:val="TableParagraph"/>
              <w:numPr>
                <w:ilvl w:val="0"/>
                <w:numId w:val="12"/>
              </w:numPr>
              <w:ind w:left="349" w:hanging="284"/>
              <w:rPr>
                <w:sz w:val="18"/>
                <w:szCs w:val="18"/>
              </w:rPr>
            </w:pPr>
            <w:r>
              <w:rPr>
                <w:sz w:val="18"/>
                <w:szCs w:val="18"/>
              </w:rPr>
              <w:t>Quality assurance (QA) of monitoring the impact of high quality feedback on PP students will be made more robust and frequent (Especially within English &amp; Maths) and explicitly linked to the schools new QA framework.  This will provide more quantitative evidence of the impact of this strategy.</w:t>
            </w: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rPr>
                <w:sz w:val="18"/>
                <w:szCs w:val="18"/>
              </w:rPr>
            </w:pPr>
          </w:p>
          <w:p>
            <w:pPr>
              <w:pStyle w:val="TableParagraph"/>
              <w:numPr>
                <w:ilvl w:val="0"/>
                <w:numId w:val="12"/>
              </w:numPr>
              <w:ind w:left="349" w:hanging="284"/>
              <w:rPr>
                <w:sz w:val="18"/>
                <w:szCs w:val="18"/>
              </w:rPr>
            </w:pPr>
            <w:r>
              <w:rPr>
                <w:sz w:val="18"/>
                <w:szCs w:val="18"/>
              </w:rPr>
              <w:t>Many students can vocalise the next steps they need to make in their learning, however some students need to develop this further.  Further staff training (CPD) will be provided to improve the consistency and quality of staff feedback and students response to feedback.  (This will include the development of “book looks”, initially starting in KS3).</w:t>
            </w:r>
          </w:p>
          <w:p>
            <w:pPr>
              <w:pStyle w:val="TableParagraph"/>
              <w:ind w:left="349"/>
              <w:rPr>
                <w:sz w:val="18"/>
                <w:szCs w:val="18"/>
              </w:rPr>
            </w:pPr>
          </w:p>
        </w:tc>
        <w:tc>
          <w:tcPr>
            <w:tcW w:w="1731" w:type="dxa"/>
          </w:tcPr>
          <w:p>
            <w:pPr>
              <w:spacing w:line="288" w:lineRule="auto"/>
              <w:rPr>
                <w:rFonts w:eastAsia="Times New Roman"/>
                <w:color w:val="0D0D0D"/>
                <w:sz w:val="18"/>
                <w:szCs w:val="18"/>
                <w:lang w:eastAsia="en-GB"/>
              </w:rPr>
            </w:pPr>
            <w:r>
              <w:rPr>
                <w:rFonts w:eastAsia="Times New Roman"/>
                <w:color w:val="0D0D0D"/>
                <w:sz w:val="18"/>
                <w:szCs w:val="18"/>
                <w:lang w:eastAsia="en-GB"/>
              </w:rPr>
              <w:t>£18,680</w:t>
            </w:r>
          </w:p>
          <w:p>
            <w:pPr>
              <w:spacing w:line="288" w:lineRule="auto"/>
              <w:rPr>
                <w:rFonts w:eastAsia="Times New Roman"/>
                <w:color w:val="0D0D0D"/>
                <w:sz w:val="18"/>
                <w:szCs w:val="18"/>
                <w:lang w:eastAsia="en-GB"/>
              </w:rPr>
            </w:pPr>
            <w:r>
              <w:rPr>
                <w:rFonts w:eastAsia="Times New Roman"/>
                <w:color w:val="0D0D0D"/>
                <w:sz w:val="18"/>
                <w:szCs w:val="18"/>
                <w:lang w:eastAsia="en-GB"/>
              </w:rPr>
              <w:t>(Part of AHT salary)</w:t>
            </w:r>
          </w:p>
          <w:p>
            <w:pPr>
              <w:spacing w:line="288" w:lineRule="auto"/>
              <w:rPr>
                <w:rFonts w:eastAsia="Times New Roman"/>
                <w:color w:val="0D0D0D"/>
                <w:sz w:val="18"/>
                <w:szCs w:val="18"/>
                <w:lang w:eastAsia="en-GB"/>
              </w:rPr>
            </w:pPr>
          </w:p>
          <w:p>
            <w:pPr>
              <w:spacing w:line="288" w:lineRule="auto"/>
              <w:rPr>
                <w:rFonts w:eastAsia="Times New Roman"/>
                <w:color w:val="0D0D0D"/>
                <w:sz w:val="18"/>
                <w:szCs w:val="18"/>
                <w:lang w:eastAsia="en-GB"/>
              </w:rPr>
            </w:pPr>
            <w:r>
              <w:rPr>
                <w:rFonts w:eastAsia="Times New Roman"/>
                <w:color w:val="0D0D0D"/>
                <w:sz w:val="18"/>
                <w:szCs w:val="18"/>
                <w:lang w:eastAsia="en-GB"/>
              </w:rPr>
              <w:t>£929 (SMID)</w:t>
            </w:r>
          </w:p>
          <w:p>
            <w:pPr>
              <w:spacing w:line="288" w:lineRule="auto"/>
              <w:rPr>
                <w:rFonts w:eastAsia="Times New Roman"/>
                <w:color w:val="0D0D0D"/>
                <w:sz w:val="18"/>
                <w:szCs w:val="18"/>
                <w:lang w:eastAsia="en-GB"/>
              </w:rPr>
            </w:pPr>
          </w:p>
          <w:p>
            <w:pPr>
              <w:pStyle w:val="TableParagraph"/>
              <w:rPr>
                <w:sz w:val="18"/>
                <w:szCs w:val="18"/>
              </w:rPr>
            </w:pPr>
          </w:p>
        </w:tc>
      </w:tr>
      <w:tr>
        <w:trPr>
          <w:trHeight w:val="700"/>
        </w:trPr>
        <w:tc>
          <w:tcPr>
            <w:tcW w:w="2443" w:type="dxa"/>
          </w:tcPr>
          <w:p>
            <w:pPr>
              <w:pStyle w:val="TableParagraph"/>
              <w:rPr>
                <w:sz w:val="18"/>
                <w:szCs w:val="18"/>
              </w:rPr>
            </w:pPr>
            <w:r>
              <w:rPr>
                <w:rFonts w:eastAsia="Times New Roman"/>
                <w:sz w:val="18"/>
                <w:szCs w:val="18"/>
                <w:lang w:eastAsia="en-GB"/>
              </w:rPr>
              <w:lastRenderedPageBreak/>
              <w:t>Students are fully equipped for lessons at the start of each day and produce well organised work.</w:t>
            </w:r>
          </w:p>
        </w:tc>
        <w:tc>
          <w:tcPr>
            <w:tcW w:w="2126" w:type="dxa"/>
          </w:tcPr>
          <w:p>
            <w:pPr>
              <w:pStyle w:val="TableParagraph"/>
              <w:rPr>
                <w:sz w:val="18"/>
                <w:szCs w:val="18"/>
              </w:rPr>
            </w:pPr>
            <w:r>
              <w:rPr>
                <w:rFonts w:eastAsia="Times New Roman"/>
                <w:sz w:val="18"/>
                <w:szCs w:val="18"/>
                <w:lang w:eastAsia="en-GB"/>
              </w:rPr>
              <w:t>Students will learn better in lessons due to being prepared</w:t>
            </w:r>
          </w:p>
        </w:tc>
        <w:tc>
          <w:tcPr>
            <w:tcW w:w="3827" w:type="dxa"/>
          </w:tcPr>
          <w:p>
            <w:pPr>
              <w:rPr>
                <w:sz w:val="18"/>
                <w:szCs w:val="18"/>
              </w:rPr>
            </w:pPr>
            <w:r>
              <w:rPr>
                <w:sz w:val="18"/>
                <w:szCs w:val="18"/>
              </w:rPr>
              <w:t xml:space="preserve">100% of the 53 students who were provided with equipment received no further detentions as a result of being provided with the correct equipment.  </w:t>
            </w:r>
          </w:p>
          <w:p>
            <w:pPr>
              <w:rPr>
                <w:sz w:val="18"/>
                <w:szCs w:val="18"/>
              </w:rPr>
            </w:pPr>
            <w:r>
              <w:rPr>
                <w:sz w:val="18"/>
                <w:szCs w:val="18"/>
              </w:rPr>
              <w:t>Evidence from the book scrutinises &amp; PP review day showed that PP students’ presentation and organisation of work was improving.</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pStyle w:val="TableParagraph"/>
              <w:rPr>
                <w:sz w:val="18"/>
                <w:szCs w:val="18"/>
              </w:rPr>
            </w:pPr>
          </w:p>
        </w:tc>
        <w:tc>
          <w:tcPr>
            <w:tcW w:w="5103" w:type="dxa"/>
          </w:tcPr>
          <w:p>
            <w:pPr>
              <w:pStyle w:val="TableParagraph"/>
              <w:numPr>
                <w:ilvl w:val="0"/>
                <w:numId w:val="13"/>
              </w:numPr>
              <w:ind w:left="349" w:hanging="284"/>
              <w:rPr>
                <w:sz w:val="18"/>
                <w:szCs w:val="18"/>
              </w:rPr>
            </w:pPr>
            <w:r>
              <w:rPr>
                <w:sz w:val="18"/>
                <w:szCs w:val="18"/>
              </w:rPr>
              <w:t>Quality assurance of monitoring how PP students learn and are prepared for their learning will continue.  Further student voice will be used to monitor if PP students are prepared for lessons.</w:t>
            </w:r>
          </w:p>
          <w:p>
            <w:pPr>
              <w:pStyle w:val="TableParagraph"/>
              <w:numPr>
                <w:ilvl w:val="0"/>
                <w:numId w:val="13"/>
              </w:numPr>
              <w:ind w:left="349" w:hanging="284"/>
              <w:rPr>
                <w:sz w:val="18"/>
                <w:szCs w:val="18"/>
              </w:rPr>
            </w:pPr>
            <w:r>
              <w:rPr>
                <w:sz w:val="18"/>
                <w:szCs w:val="18"/>
              </w:rPr>
              <w:t>Equipment will continue to be provided and monitored.</w:t>
            </w:r>
          </w:p>
        </w:tc>
        <w:tc>
          <w:tcPr>
            <w:tcW w:w="1731" w:type="dxa"/>
          </w:tcPr>
          <w:p>
            <w:pPr>
              <w:spacing w:line="288" w:lineRule="auto"/>
              <w:rPr>
                <w:rFonts w:eastAsia="Times New Roman"/>
                <w:color w:val="0D0D0D"/>
                <w:sz w:val="18"/>
                <w:szCs w:val="18"/>
                <w:lang w:eastAsia="en-GB"/>
              </w:rPr>
            </w:pPr>
            <w:r>
              <w:rPr>
                <w:rFonts w:eastAsia="Times New Roman"/>
                <w:color w:val="0D0D0D"/>
                <w:sz w:val="18"/>
                <w:szCs w:val="18"/>
                <w:lang w:eastAsia="en-GB"/>
              </w:rPr>
              <w:t>£200</w:t>
            </w:r>
          </w:p>
          <w:p>
            <w:pPr>
              <w:pStyle w:val="TableParagraph"/>
              <w:rPr>
                <w:sz w:val="18"/>
                <w:szCs w:val="18"/>
              </w:rPr>
            </w:pPr>
          </w:p>
        </w:tc>
      </w:tr>
      <w:tr>
        <w:trPr>
          <w:trHeight w:val="340"/>
        </w:trPr>
        <w:tc>
          <w:tcPr>
            <w:tcW w:w="15230" w:type="dxa"/>
            <w:gridSpan w:val="5"/>
          </w:tcPr>
          <w:p>
            <w:pPr>
              <w:pStyle w:val="TableParagraph"/>
              <w:spacing w:before="55"/>
              <w:ind w:left="-13"/>
              <w:rPr>
                <w:b/>
                <w:sz w:val="24"/>
              </w:rPr>
            </w:pPr>
            <w:r>
              <w:rPr>
                <w:b/>
                <w:sz w:val="24"/>
              </w:rPr>
              <w:t>Targeted support</w:t>
            </w:r>
          </w:p>
        </w:tc>
      </w:tr>
      <w:tr>
        <w:trPr>
          <w:trHeight w:val="1200"/>
        </w:trPr>
        <w:tc>
          <w:tcPr>
            <w:tcW w:w="2443" w:type="dxa"/>
          </w:tcPr>
          <w:p>
            <w:pPr>
              <w:pStyle w:val="TableParagraph"/>
              <w:spacing w:before="55"/>
              <w:ind w:left="102"/>
              <w:rPr>
                <w:b/>
                <w:sz w:val="24"/>
              </w:rPr>
            </w:pPr>
            <w:r>
              <w:rPr>
                <w:b/>
                <w:sz w:val="24"/>
              </w:rPr>
              <w:t>Action</w:t>
            </w:r>
          </w:p>
        </w:tc>
        <w:tc>
          <w:tcPr>
            <w:tcW w:w="2126" w:type="dxa"/>
          </w:tcPr>
          <w:p>
            <w:pPr>
              <w:pStyle w:val="TableParagraph"/>
              <w:spacing w:before="55"/>
              <w:ind w:left="103" w:right="852"/>
              <w:rPr>
                <w:b/>
                <w:sz w:val="24"/>
              </w:rPr>
            </w:pPr>
            <w:r>
              <w:rPr>
                <w:b/>
                <w:sz w:val="24"/>
              </w:rPr>
              <w:t>Intended outcome</w:t>
            </w:r>
          </w:p>
        </w:tc>
        <w:tc>
          <w:tcPr>
            <w:tcW w:w="3827" w:type="dxa"/>
          </w:tcPr>
          <w:p>
            <w:pPr>
              <w:pStyle w:val="TableParagraph"/>
              <w:spacing w:before="55"/>
              <w:ind w:left="102" w:right="173"/>
              <w:rPr>
                <w:sz w:val="24"/>
              </w:rPr>
            </w:pPr>
            <w:r>
              <w:rPr>
                <w:b/>
                <w:sz w:val="24"/>
              </w:rPr>
              <w:t xml:space="preserve">Estimated impact: </w:t>
            </w:r>
            <w:r>
              <w:rPr>
                <w:sz w:val="24"/>
              </w:rPr>
              <w:t>Did you meet the success criteria? (Include impact on students not eligible for PP, if appropriate).</w:t>
            </w:r>
          </w:p>
        </w:tc>
        <w:tc>
          <w:tcPr>
            <w:tcW w:w="5103" w:type="dxa"/>
          </w:tcPr>
          <w:p>
            <w:pPr>
              <w:pStyle w:val="TableParagraph"/>
              <w:spacing w:before="55"/>
              <w:ind w:left="103"/>
              <w:rPr>
                <w:b/>
                <w:sz w:val="24"/>
              </w:rPr>
            </w:pPr>
            <w:r>
              <w:rPr>
                <w:b/>
                <w:sz w:val="24"/>
              </w:rPr>
              <w:t>Lessons learned</w:t>
            </w:r>
          </w:p>
          <w:p>
            <w:pPr>
              <w:pStyle w:val="TableParagraph"/>
              <w:ind w:left="103" w:right="807"/>
              <w:rPr>
                <w:sz w:val="24"/>
              </w:rPr>
            </w:pPr>
            <w:r>
              <w:rPr>
                <w:sz w:val="24"/>
              </w:rPr>
              <w:t>(and whether you will continue with this approach)</w:t>
            </w:r>
          </w:p>
        </w:tc>
        <w:tc>
          <w:tcPr>
            <w:tcW w:w="1731" w:type="dxa"/>
          </w:tcPr>
          <w:p>
            <w:pPr>
              <w:pStyle w:val="TableParagraph"/>
              <w:spacing w:before="55"/>
              <w:ind w:left="103"/>
              <w:rPr>
                <w:b/>
                <w:sz w:val="24"/>
              </w:rPr>
            </w:pPr>
            <w:r>
              <w:rPr>
                <w:b/>
                <w:sz w:val="24"/>
              </w:rPr>
              <w:t>Cost</w:t>
            </w:r>
          </w:p>
        </w:tc>
      </w:tr>
      <w:tr>
        <w:trPr>
          <w:trHeight w:val="1274"/>
        </w:trPr>
        <w:tc>
          <w:tcPr>
            <w:tcW w:w="2443" w:type="dxa"/>
          </w:tcPr>
          <w:p>
            <w:pPr>
              <w:pStyle w:val="TableParagraph"/>
              <w:rPr>
                <w:sz w:val="18"/>
                <w:szCs w:val="18"/>
              </w:rPr>
            </w:pPr>
            <w:r>
              <w:rPr>
                <w:rFonts w:eastAsia="Times New Roman"/>
                <w:sz w:val="18"/>
                <w:szCs w:val="18"/>
                <w:lang w:eastAsia="en-GB"/>
              </w:rPr>
              <w:t>Raising achievement programme (RAP), is a timetabled programme of support for year 11 students.</w:t>
            </w:r>
          </w:p>
        </w:tc>
        <w:tc>
          <w:tcPr>
            <w:tcW w:w="2126" w:type="dxa"/>
            <w:vMerge w:val="restart"/>
          </w:tcPr>
          <w:p>
            <w:pPr>
              <w:rPr>
                <w:rFonts w:eastAsia="Times New Roman"/>
                <w:sz w:val="18"/>
                <w:szCs w:val="18"/>
                <w:lang w:eastAsia="en-GB"/>
              </w:rPr>
            </w:pPr>
            <w:r>
              <w:rPr>
                <w:rFonts w:eastAsia="Times New Roman"/>
                <w:sz w:val="18"/>
                <w:szCs w:val="18"/>
                <w:lang w:eastAsia="en-GB"/>
              </w:rPr>
              <w:t xml:space="preserve">An increased number of students demonstrating a confidence in their own learning and an aspiration to succeed.  </w:t>
            </w:r>
          </w:p>
          <w:p>
            <w:pPr>
              <w:rPr>
                <w:rFonts w:eastAsia="Times New Roman"/>
                <w:sz w:val="18"/>
                <w:szCs w:val="18"/>
                <w:lang w:eastAsia="en-GB"/>
              </w:rPr>
            </w:pPr>
          </w:p>
          <w:p>
            <w:pPr>
              <w:spacing w:line="288" w:lineRule="auto"/>
              <w:rPr>
                <w:rFonts w:eastAsia="Times New Roman"/>
                <w:sz w:val="18"/>
                <w:szCs w:val="18"/>
                <w:lang w:eastAsia="en-GB"/>
              </w:rPr>
            </w:pPr>
            <w:r>
              <w:rPr>
                <w:rFonts w:eastAsia="Times New Roman"/>
                <w:sz w:val="18"/>
                <w:szCs w:val="18"/>
                <w:lang w:eastAsia="en-GB"/>
              </w:rPr>
              <w:t>More parents actively supporting higher aspirations for students.</w:t>
            </w:r>
          </w:p>
          <w:p>
            <w:pPr>
              <w:spacing w:line="288" w:lineRule="auto"/>
              <w:rPr>
                <w:rFonts w:eastAsia="Times New Roman"/>
                <w:sz w:val="18"/>
                <w:szCs w:val="18"/>
                <w:lang w:eastAsia="en-GB"/>
              </w:rPr>
            </w:pPr>
          </w:p>
          <w:p>
            <w:pPr>
              <w:spacing w:line="288" w:lineRule="auto"/>
              <w:rPr>
                <w:rFonts w:eastAsia="Times New Roman"/>
                <w:sz w:val="18"/>
                <w:szCs w:val="18"/>
                <w:lang w:eastAsia="en-GB"/>
              </w:rPr>
            </w:pPr>
            <w:r>
              <w:rPr>
                <w:rFonts w:eastAsia="Times New Roman"/>
                <w:sz w:val="18"/>
                <w:szCs w:val="18"/>
                <w:lang w:eastAsia="en-GB"/>
              </w:rPr>
              <w:t>More students exhibiting positive behaviour for learning.</w:t>
            </w:r>
          </w:p>
          <w:p>
            <w:pPr>
              <w:pStyle w:val="TableParagraph"/>
              <w:rPr>
                <w:sz w:val="18"/>
                <w:szCs w:val="18"/>
              </w:rPr>
            </w:pPr>
          </w:p>
        </w:tc>
        <w:tc>
          <w:tcPr>
            <w:tcW w:w="3827" w:type="dxa"/>
          </w:tcPr>
          <w:p>
            <w:pPr>
              <w:widowControl/>
              <w:autoSpaceDE/>
              <w:autoSpaceDN/>
              <w:spacing w:after="160" w:line="259" w:lineRule="auto"/>
              <w:contextualSpacing/>
              <w:rPr>
                <w:sz w:val="18"/>
                <w:szCs w:val="18"/>
              </w:rPr>
            </w:pPr>
            <w:r>
              <w:rPr>
                <w:sz w:val="18"/>
                <w:szCs w:val="18"/>
              </w:rPr>
              <w:t>While progress 8 for RAP students improved from   -0.86 to -0.66 there is still room for further improvement.</w:t>
            </w:r>
          </w:p>
          <w:p>
            <w:pPr>
              <w:widowControl/>
              <w:autoSpaceDE/>
              <w:autoSpaceDN/>
              <w:spacing w:after="160" w:line="259" w:lineRule="auto"/>
              <w:contextualSpacing/>
              <w:jc w:val="both"/>
              <w:rPr>
                <w:sz w:val="18"/>
                <w:szCs w:val="18"/>
              </w:rPr>
            </w:pPr>
          </w:p>
          <w:p>
            <w:pPr>
              <w:widowControl/>
              <w:autoSpaceDE/>
              <w:autoSpaceDN/>
              <w:spacing w:after="160" w:line="259" w:lineRule="auto"/>
              <w:contextualSpacing/>
              <w:jc w:val="both"/>
              <w:rPr>
                <w:sz w:val="18"/>
                <w:szCs w:val="18"/>
              </w:rPr>
            </w:pPr>
            <w:r>
              <w:rPr>
                <w:sz w:val="18"/>
                <w:szCs w:val="18"/>
              </w:rPr>
              <w:t>85% of the students who engaged with the programme made progress from the end of year 10 to the end of year 11.</w:t>
            </w:r>
          </w:p>
          <w:p>
            <w:pPr>
              <w:pStyle w:val="TableParagraph"/>
              <w:rPr>
                <w:sz w:val="18"/>
                <w:szCs w:val="18"/>
              </w:rPr>
            </w:pPr>
          </w:p>
        </w:tc>
        <w:tc>
          <w:tcPr>
            <w:tcW w:w="5103" w:type="dxa"/>
          </w:tcPr>
          <w:p>
            <w:pPr>
              <w:pStyle w:val="TableParagraph"/>
              <w:rPr>
                <w:sz w:val="18"/>
                <w:szCs w:val="18"/>
              </w:rPr>
            </w:pPr>
            <w:r>
              <w:rPr>
                <w:sz w:val="18"/>
                <w:szCs w:val="18"/>
              </w:rPr>
              <w:t>The impact of RAP has been limited due to it being a 1 year intervention.  From September 2019 early intervention using the Achievement 4 All will mentor key PP students across KS3 &amp; KS4 following the structured conversation programme.</w:t>
            </w:r>
          </w:p>
        </w:tc>
        <w:tc>
          <w:tcPr>
            <w:tcW w:w="1731" w:type="dxa"/>
          </w:tcPr>
          <w:p>
            <w:pPr>
              <w:pStyle w:val="TableParagraph"/>
              <w:rPr>
                <w:sz w:val="18"/>
                <w:szCs w:val="18"/>
              </w:rPr>
            </w:pPr>
          </w:p>
        </w:tc>
      </w:tr>
      <w:tr>
        <w:trPr>
          <w:trHeight w:val="680"/>
        </w:trPr>
        <w:tc>
          <w:tcPr>
            <w:tcW w:w="2443" w:type="dxa"/>
          </w:tcPr>
          <w:p>
            <w:pPr>
              <w:spacing w:line="288" w:lineRule="auto"/>
              <w:rPr>
                <w:rFonts w:eastAsia="Times New Roman"/>
                <w:sz w:val="18"/>
                <w:szCs w:val="18"/>
                <w:lang w:eastAsia="en-GB"/>
              </w:rPr>
            </w:pPr>
            <w:r>
              <w:rPr>
                <w:rFonts w:eastAsia="Times New Roman"/>
                <w:sz w:val="18"/>
                <w:szCs w:val="18"/>
                <w:lang w:eastAsia="en-GB"/>
              </w:rPr>
              <w:t xml:space="preserve">Structured Achievement 4 all (A4A programme which begins with a needs analysis followed by termly structured conversations. </w:t>
            </w:r>
          </w:p>
          <w:p>
            <w:pPr>
              <w:pStyle w:val="TableParagraph"/>
              <w:rPr>
                <w:sz w:val="18"/>
                <w:szCs w:val="18"/>
              </w:rPr>
            </w:pPr>
          </w:p>
        </w:tc>
        <w:tc>
          <w:tcPr>
            <w:tcW w:w="2126" w:type="dxa"/>
            <w:vMerge/>
          </w:tcPr>
          <w:p>
            <w:pPr>
              <w:pStyle w:val="TableParagraph"/>
              <w:rPr>
                <w:sz w:val="18"/>
                <w:szCs w:val="18"/>
              </w:rPr>
            </w:pPr>
          </w:p>
        </w:tc>
        <w:tc>
          <w:tcPr>
            <w:tcW w:w="3827" w:type="dxa"/>
          </w:tcPr>
          <w:p>
            <w:pPr>
              <w:pStyle w:val="TableParagraph"/>
              <w:rPr>
                <w:sz w:val="18"/>
                <w:szCs w:val="18"/>
              </w:rPr>
            </w:pPr>
            <w:r>
              <w:rPr>
                <w:sz w:val="18"/>
                <w:szCs w:val="18"/>
              </w:rPr>
              <w:t>54% of families actively engaged in the programme attending the structured conversations.  This resulted in maintaining and in 3 cases improving outcomes in English &amp; Maths.</w:t>
            </w:r>
          </w:p>
        </w:tc>
        <w:tc>
          <w:tcPr>
            <w:tcW w:w="5103" w:type="dxa"/>
          </w:tcPr>
          <w:p>
            <w:pPr>
              <w:pStyle w:val="TableParagraph"/>
              <w:rPr>
                <w:sz w:val="18"/>
                <w:szCs w:val="18"/>
              </w:rPr>
            </w:pPr>
            <w:r>
              <w:rPr>
                <w:sz w:val="18"/>
                <w:szCs w:val="18"/>
              </w:rPr>
              <w:t>While the structured conversation programme has proved effective when delivered consistently.  More robust monitoring will help ensure that more students are benefitting from the programme.</w:t>
            </w:r>
          </w:p>
          <w:p>
            <w:pPr>
              <w:pStyle w:val="TableParagraph"/>
              <w:rPr>
                <w:sz w:val="18"/>
                <w:szCs w:val="18"/>
              </w:rPr>
            </w:pPr>
          </w:p>
          <w:p>
            <w:pPr>
              <w:pStyle w:val="TableParagraph"/>
              <w:rPr>
                <w:sz w:val="18"/>
                <w:szCs w:val="18"/>
              </w:rPr>
            </w:pPr>
            <w:r>
              <w:rPr>
                <w:sz w:val="18"/>
                <w:szCs w:val="18"/>
              </w:rPr>
              <w:t>From September 2019 there will be a more structured programme and evaluation of impact. (Which will include longer conversation windows outlined in the whole school calendar and more time allocated to staff in order to complete each conversation).</w:t>
            </w:r>
          </w:p>
        </w:tc>
        <w:tc>
          <w:tcPr>
            <w:tcW w:w="1731" w:type="dxa"/>
          </w:tcPr>
          <w:p>
            <w:pPr>
              <w:pStyle w:val="TableParagraph"/>
              <w:rPr>
                <w:sz w:val="18"/>
                <w:szCs w:val="18"/>
              </w:rPr>
            </w:pPr>
          </w:p>
        </w:tc>
      </w:tr>
      <w:tr>
        <w:trPr>
          <w:trHeight w:val="680"/>
        </w:trPr>
        <w:tc>
          <w:tcPr>
            <w:tcW w:w="2443" w:type="dxa"/>
          </w:tcPr>
          <w:p>
            <w:pPr>
              <w:spacing w:line="288" w:lineRule="auto"/>
              <w:rPr>
                <w:rFonts w:eastAsia="Times New Roman"/>
                <w:sz w:val="18"/>
                <w:szCs w:val="18"/>
                <w:lang w:eastAsia="en-GB"/>
              </w:rPr>
            </w:pPr>
            <w:r>
              <w:rPr>
                <w:rFonts w:eastAsia="Times New Roman"/>
                <w:sz w:val="18"/>
                <w:szCs w:val="18"/>
                <w:lang w:eastAsia="en-GB"/>
              </w:rPr>
              <w:t>Princes Trust</w:t>
            </w:r>
          </w:p>
          <w:p>
            <w:pPr>
              <w:spacing w:line="288" w:lineRule="auto"/>
              <w:rPr>
                <w:rFonts w:eastAsia="Times New Roman"/>
                <w:sz w:val="18"/>
                <w:szCs w:val="18"/>
                <w:lang w:eastAsia="en-GB"/>
              </w:rPr>
            </w:pPr>
          </w:p>
        </w:tc>
        <w:tc>
          <w:tcPr>
            <w:tcW w:w="2126" w:type="dxa"/>
            <w:vMerge/>
          </w:tcPr>
          <w:p>
            <w:pPr>
              <w:pStyle w:val="TableParagraph"/>
              <w:rPr>
                <w:sz w:val="18"/>
                <w:szCs w:val="18"/>
              </w:rPr>
            </w:pPr>
          </w:p>
        </w:tc>
        <w:tc>
          <w:tcPr>
            <w:tcW w:w="3827" w:type="dxa"/>
          </w:tcPr>
          <w:p>
            <w:pPr>
              <w:pStyle w:val="TableParagraph"/>
              <w:rPr>
                <w:sz w:val="18"/>
                <w:szCs w:val="18"/>
              </w:rPr>
            </w:pPr>
            <w:r>
              <w:rPr>
                <w:sz w:val="18"/>
                <w:szCs w:val="18"/>
              </w:rPr>
              <w:t>Student feedback confirms they have developed skills that are transferrable across the curriculum, employability skills in preparing for future interviews and developing their confidence.</w:t>
            </w:r>
          </w:p>
        </w:tc>
        <w:tc>
          <w:tcPr>
            <w:tcW w:w="5103" w:type="dxa"/>
          </w:tcPr>
          <w:p>
            <w:pPr>
              <w:pStyle w:val="TableParagraph"/>
              <w:rPr>
                <w:sz w:val="18"/>
                <w:szCs w:val="18"/>
              </w:rPr>
            </w:pPr>
            <w:r>
              <w:rPr>
                <w:sz w:val="18"/>
                <w:szCs w:val="18"/>
              </w:rPr>
              <w:t xml:space="preserve">From September 2019 there will be a more structured monitoring system in place which will consider attendance, behavior, A2L and also include student voice. </w:t>
            </w:r>
          </w:p>
        </w:tc>
        <w:tc>
          <w:tcPr>
            <w:tcW w:w="1731" w:type="dxa"/>
          </w:tcPr>
          <w:p>
            <w:pPr>
              <w:pStyle w:val="TableParagraph"/>
              <w:rPr>
                <w:sz w:val="18"/>
                <w:szCs w:val="18"/>
              </w:rPr>
            </w:pPr>
          </w:p>
        </w:tc>
      </w:tr>
      <w:tr>
        <w:trPr>
          <w:trHeight w:val="680"/>
        </w:trPr>
        <w:tc>
          <w:tcPr>
            <w:tcW w:w="2443" w:type="dxa"/>
          </w:tcPr>
          <w:p>
            <w:pPr>
              <w:spacing w:line="288" w:lineRule="auto"/>
              <w:rPr>
                <w:rFonts w:eastAsia="Times New Roman"/>
                <w:sz w:val="18"/>
                <w:szCs w:val="18"/>
                <w:lang w:eastAsia="en-GB"/>
              </w:rPr>
            </w:pPr>
            <w:r>
              <w:rPr>
                <w:rFonts w:eastAsia="Times New Roman"/>
                <w:sz w:val="18"/>
                <w:szCs w:val="18"/>
                <w:lang w:eastAsia="en-GB"/>
              </w:rPr>
              <w:t>Employability Programme is when students are supported for 3 days to help improve their employability skills.</w:t>
            </w:r>
          </w:p>
          <w:p>
            <w:pPr>
              <w:spacing w:line="288" w:lineRule="auto"/>
              <w:rPr>
                <w:rFonts w:eastAsia="Times New Roman"/>
                <w:sz w:val="18"/>
                <w:szCs w:val="18"/>
                <w:lang w:eastAsia="en-GB"/>
              </w:rPr>
            </w:pPr>
          </w:p>
        </w:tc>
        <w:tc>
          <w:tcPr>
            <w:tcW w:w="2126" w:type="dxa"/>
            <w:vMerge/>
          </w:tcPr>
          <w:p>
            <w:pPr>
              <w:pStyle w:val="TableParagraph"/>
              <w:rPr>
                <w:sz w:val="18"/>
                <w:szCs w:val="18"/>
              </w:rPr>
            </w:pPr>
          </w:p>
        </w:tc>
        <w:tc>
          <w:tcPr>
            <w:tcW w:w="3827" w:type="dxa"/>
          </w:tcPr>
          <w:p>
            <w:pPr>
              <w:rPr>
                <w:sz w:val="18"/>
                <w:szCs w:val="18"/>
              </w:rPr>
            </w:pPr>
            <w:r>
              <w:rPr>
                <w:sz w:val="18"/>
                <w:szCs w:val="18"/>
              </w:rPr>
              <w:t xml:space="preserve">Students who were at risk of not entering further education or training at 16 are no longer considered at risk as a result of the programme.  </w:t>
            </w:r>
          </w:p>
          <w:p>
            <w:pPr>
              <w:pStyle w:val="TableParagraph"/>
              <w:rPr>
                <w:sz w:val="18"/>
                <w:szCs w:val="18"/>
              </w:rPr>
            </w:pPr>
          </w:p>
        </w:tc>
        <w:tc>
          <w:tcPr>
            <w:tcW w:w="5103" w:type="dxa"/>
          </w:tcPr>
          <w:p>
            <w:pPr>
              <w:pStyle w:val="TableParagraph"/>
              <w:rPr>
                <w:sz w:val="18"/>
                <w:szCs w:val="18"/>
              </w:rPr>
            </w:pPr>
            <w:r>
              <w:rPr>
                <w:sz w:val="18"/>
                <w:szCs w:val="18"/>
              </w:rPr>
              <w:t>Future involvement depends on provision from external company.</w:t>
            </w:r>
          </w:p>
        </w:tc>
        <w:tc>
          <w:tcPr>
            <w:tcW w:w="1731" w:type="dxa"/>
          </w:tcPr>
          <w:p>
            <w:pPr>
              <w:pStyle w:val="TableParagraph"/>
              <w:rPr>
                <w:sz w:val="18"/>
                <w:szCs w:val="18"/>
              </w:rPr>
            </w:pPr>
          </w:p>
        </w:tc>
      </w:tr>
      <w:tr>
        <w:trPr>
          <w:trHeight w:val="680"/>
        </w:trPr>
        <w:tc>
          <w:tcPr>
            <w:tcW w:w="2443" w:type="dxa"/>
          </w:tcPr>
          <w:p>
            <w:pPr>
              <w:spacing w:line="288" w:lineRule="auto"/>
              <w:rPr>
                <w:sz w:val="18"/>
                <w:szCs w:val="18"/>
              </w:rPr>
            </w:pPr>
            <w:r>
              <w:rPr>
                <w:sz w:val="18"/>
                <w:szCs w:val="18"/>
              </w:rPr>
              <w:lastRenderedPageBreak/>
              <w:t>D of E</w:t>
            </w:r>
          </w:p>
        </w:tc>
        <w:tc>
          <w:tcPr>
            <w:tcW w:w="2126" w:type="dxa"/>
            <w:vMerge/>
          </w:tcPr>
          <w:p>
            <w:pPr>
              <w:pStyle w:val="TableParagraph"/>
              <w:rPr>
                <w:sz w:val="18"/>
                <w:szCs w:val="18"/>
              </w:rPr>
            </w:pPr>
          </w:p>
        </w:tc>
        <w:tc>
          <w:tcPr>
            <w:tcW w:w="3827" w:type="dxa"/>
          </w:tcPr>
          <w:p>
            <w:pPr>
              <w:pStyle w:val="TableParagraph"/>
              <w:rPr>
                <w:sz w:val="18"/>
                <w:szCs w:val="18"/>
              </w:rPr>
            </w:pPr>
            <w:r>
              <w:rPr>
                <w:sz w:val="18"/>
                <w:szCs w:val="18"/>
              </w:rPr>
              <w:t xml:space="preserve">Students completed the Bronze Duke of Edinburgh Award which allowed them to develop skills outside of the classroom through the volunteering aspect of this award.  </w:t>
            </w:r>
          </w:p>
        </w:tc>
        <w:tc>
          <w:tcPr>
            <w:tcW w:w="5103" w:type="dxa"/>
          </w:tcPr>
          <w:p>
            <w:pPr>
              <w:pStyle w:val="TableParagraph"/>
              <w:rPr>
                <w:sz w:val="18"/>
                <w:szCs w:val="18"/>
              </w:rPr>
            </w:pPr>
            <w:r>
              <w:rPr>
                <w:sz w:val="18"/>
                <w:szCs w:val="18"/>
              </w:rPr>
              <w:t>An increased number of year 9 PP students will be targeted to do this award.</w:t>
            </w:r>
          </w:p>
        </w:tc>
        <w:tc>
          <w:tcPr>
            <w:tcW w:w="1731" w:type="dxa"/>
          </w:tcPr>
          <w:p>
            <w:pPr>
              <w:pStyle w:val="TableParagraph"/>
              <w:rPr>
                <w:sz w:val="18"/>
                <w:szCs w:val="18"/>
              </w:rPr>
            </w:pPr>
          </w:p>
        </w:tc>
      </w:tr>
      <w:tr>
        <w:trPr>
          <w:trHeight w:val="680"/>
        </w:trPr>
        <w:tc>
          <w:tcPr>
            <w:tcW w:w="2443" w:type="dxa"/>
          </w:tcPr>
          <w:p>
            <w:pPr>
              <w:spacing w:line="288" w:lineRule="auto"/>
              <w:rPr>
                <w:rFonts w:eastAsia="Times New Roman"/>
                <w:sz w:val="18"/>
                <w:szCs w:val="18"/>
                <w:lang w:eastAsia="en-GB"/>
              </w:rPr>
            </w:pPr>
            <w:r>
              <w:rPr>
                <w:rFonts w:eastAsia="Times New Roman"/>
                <w:sz w:val="18"/>
                <w:szCs w:val="18"/>
                <w:lang w:eastAsia="en-GB"/>
              </w:rPr>
              <w:t>EBACC Entry</w:t>
            </w:r>
          </w:p>
        </w:tc>
        <w:tc>
          <w:tcPr>
            <w:tcW w:w="2126" w:type="dxa"/>
          </w:tcPr>
          <w:p>
            <w:pPr>
              <w:pStyle w:val="TableParagraph"/>
              <w:rPr>
                <w:sz w:val="18"/>
                <w:szCs w:val="18"/>
              </w:rPr>
            </w:pPr>
            <w:r>
              <w:rPr>
                <w:rFonts w:eastAsia="Times New Roman"/>
                <w:sz w:val="18"/>
                <w:szCs w:val="18"/>
                <w:lang w:eastAsia="en-GB"/>
              </w:rPr>
              <w:t>To increase percentage of PP students entering EBACC.</w:t>
            </w:r>
          </w:p>
        </w:tc>
        <w:tc>
          <w:tcPr>
            <w:tcW w:w="3827" w:type="dxa"/>
          </w:tcPr>
          <w:p>
            <w:pPr>
              <w:pStyle w:val="TableParagraph"/>
              <w:rPr>
                <w:sz w:val="18"/>
                <w:szCs w:val="18"/>
              </w:rPr>
            </w:pPr>
            <w:r>
              <w:rPr>
                <w:sz w:val="18"/>
                <w:szCs w:val="18"/>
              </w:rPr>
              <w:t>The percentage of students has increased from less than 20% for the 2019 cohort to 52% (2020): 69% (2021) 65% (2022).</w:t>
            </w:r>
          </w:p>
        </w:tc>
        <w:tc>
          <w:tcPr>
            <w:tcW w:w="5103" w:type="dxa"/>
          </w:tcPr>
          <w:p>
            <w:pPr>
              <w:pStyle w:val="TableParagraph"/>
              <w:rPr>
                <w:sz w:val="18"/>
                <w:szCs w:val="18"/>
              </w:rPr>
            </w:pPr>
            <w:r>
              <w:rPr>
                <w:sz w:val="18"/>
                <w:szCs w:val="18"/>
              </w:rPr>
              <w:t xml:space="preserve">To build upon this increase in EBACC entries and support the students to achieve their full potential.  </w:t>
            </w:r>
          </w:p>
        </w:tc>
        <w:tc>
          <w:tcPr>
            <w:tcW w:w="1731" w:type="dxa"/>
          </w:tcPr>
          <w:p>
            <w:pPr>
              <w:pStyle w:val="TableParagraph"/>
              <w:rPr>
                <w:sz w:val="18"/>
                <w:szCs w:val="18"/>
              </w:rPr>
            </w:pPr>
          </w:p>
        </w:tc>
      </w:tr>
      <w:tr>
        <w:trPr>
          <w:trHeight w:val="360"/>
        </w:trPr>
        <w:tc>
          <w:tcPr>
            <w:tcW w:w="15230" w:type="dxa"/>
            <w:gridSpan w:val="5"/>
          </w:tcPr>
          <w:p>
            <w:pPr>
              <w:pStyle w:val="TableParagraph"/>
              <w:spacing w:before="56"/>
              <w:ind w:left="119"/>
              <w:rPr>
                <w:b/>
                <w:sz w:val="24"/>
              </w:rPr>
            </w:pPr>
            <w:r>
              <w:rPr>
                <w:b/>
                <w:sz w:val="24"/>
              </w:rPr>
              <w:t>ix.  Other approaches (including links to personal, social and emotional wellbeing)</w:t>
            </w:r>
          </w:p>
        </w:tc>
      </w:tr>
      <w:tr>
        <w:trPr>
          <w:trHeight w:val="1200"/>
        </w:trPr>
        <w:tc>
          <w:tcPr>
            <w:tcW w:w="2443" w:type="dxa"/>
          </w:tcPr>
          <w:p>
            <w:pPr>
              <w:pStyle w:val="TableParagraph"/>
              <w:spacing w:before="55"/>
              <w:ind w:left="102"/>
              <w:rPr>
                <w:b/>
                <w:sz w:val="24"/>
              </w:rPr>
            </w:pPr>
            <w:r>
              <w:rPr>
                <w:b/>
                <w:sz w:val="24"/>
              </w:rPr>
              <w:t>Action</w:t>
            </w:r>
          </w:p>
        </w:tc>
        <w:tc>
          <w:tcPr>
            <w:tcW w:w="2126" w:type="dxa"/>
          </w:tcPr>
          <w:p>
            <w:pPr>
              <w:pStyle w:val="TableParagraph"/>
              <w:spacing w:before="55"/>
              <w:ind w:left="103" w:right="852"/>
              <w:rPr>
                <w:b/>
                <w:sz w:val="24"/>
              </w:rPr>
            </w:pPr>
            <w:r>
              <w:rPr>
                <w:b/>
                <w:sz w:val="24"/>
              </w:rPr>
              <w:t>Intended outcome</w:t>
            </w:r>
          </w:p>
        </w:tc>
        <w:tc>
          <w:tcPr>
            <w:tcW w:w="3827" w:type="dxa"/>
          </w:tcPr>
          <w:p>
            <w:pPr>
              <w:pStyle w:val="TableParagraph"/>
              <w:spacing w:before="55"/>
              <w:ind w:left="102" w:right="173"/>
              <w:rPr>
                <w:sz w:val="24"/>
              </w:rPr>
            </w:pPr>
            <w:r>
              <w:rPr>
                <w:b/>
                <w:sz w:val="24"/>
              </w:rPr>
              <w:t xml:space="preserve">Estimated impact: </w:t>
            </w:r>
            <w:r>
              <w:rPr>
                <w:sz w:val="24"/>
              </w:rPr>
              <w:t>Did you meet the success criteria? (Include impact on students not eligible for PP, if appropriate).</w:t>
            </w:r>
          </w:p>
        </w:tc>
        <w:tc>
          <w:tcPr>
            <w:tcW w:w="5103" w:type="dxa"/>
          </w:tcPr>
          <w:p>
            <w:pPr>
              <w:pStyle w:val="TableParagraph"/>
              <w:spacing w:before="55"/>
              <w:ind w:left="103"/>
              <w:rPr>
                <w:b/>
                <w:sz w:val="24"/>
              </w:rPr>
            </w:pPr>
            <w:r>
              <w:rPr>
                <w:b/>
                <w:sz w:val="24"/>
              </w:rPr>
              <w:t>Lessons learned</w:t>
            </w:r>
          </w:p>
          <w:p>
            <w:pPr>
              <w:pStyle w:val="TableParagraph"/>
              <w:ind w:left="103" w:right="807"/>
              <w:rPr>
                <w:sz w:val="24"/>
              </w:rPr>
            </w:pPr>
            <w:r>
              <w:rPr>
                <w:sz w:val="24"/>
              </w:rPr>
              <w:t>(and whether you will continue with this approach)</w:t>
            </w:r>
          </w:p>
        </w:tc>
        <w:tc>
          <w:tcPr>
            <w:tcW w:w="1731" w:type="dxa"/>
          </w:tcPr>
          <w:p>
            <w:pPr>
              <w:pStyle w:val="TableParagraph"/>
              <w:spacing w:before="55"/>
              <w:ind w:left="103"/>
              <w:rPr>
                <w:b/>
                <w:sz w:val="24"/>
              </w:rPr>
            </w:pPr>
            <w:r>
              <w:rPr>
                <w:b/>
                <w:sz w:val="24"/>
              </w:rPr>
              <w:t>Cost</w:t>
            </w:r>
          </w:p>
        </w:tc>
      </w:tr>
      <w:tr>
        <w:trPr>
          <w:trHeight w:val="560"/>
        </w:trPr>
        <w:tc>
          <w:tcPr>
            <w:tcW w:w="2443" w:type="dxa"/>
          </w:tcPr>
          <w:p>
            <w:pPr>
              <w:pStyle w:val="TableParagraph"/>
              <w:rPr>
                <w:sz w:val="18"/>
                <w:szCs w:val="18"/>
              </w:rPr>
            </w:pPr>
            <w:r>
              <w:rPr>
                <w:sz w:val="18"/>
                <w:szCs w:val="18"/>
              </w:rPr>
              <w:t>Wellbeing support through ELSA programme</w:t>
            </w:r>
          </w:p>
        </w:tc>
        <w:tc>
          <w:tcPr>
            <w:tcW w:w="2126" w:type="dxa"/>
          </w:tcPr>
          <w:p>
            <w:pPr>
              <w:pStyle w:val="TableParagraph"/>
              <w:rPr>
                <w:sz w:val="18"/>
                <w:szCs w:val="18"/>
              </w:rPr>
            </w:pPr>
            <w:r>
              <w:rPr>
                <w:sz w:val="18"/>
                <w:szCs w:val="18"/>
              </w:rPr>
              <w:t xml:space="preserve">To help the students to overcome social, emotional challenges. </w:t>
            </w:r>
          </w:p>
        </w:tc>
        <w:tc>
          <w:tcPr>
            <w:tcW w:w="3827" w:type="dxa"/>
          </w:tcPr>
          <w:p>
            <w:pPr>
              <w:pStyle w:val="TableParagraph"/>
              <w:rPr>
                <w:sz w:val="18"/>
                <w:szCs w:val="18"/>
              </w:rPr>
            </w:pPr>
            <w:r>
              <w:rPr>
                <w:sz w:val="18"/>
                <w:szCs w:val="18"/>
              </w:rPr>
              <w:t>Student/ teacher voice indicates that a significant number of students’ benefitted from this support.</w:t>
            </w:r>
          </w:p>
        </w:tc>
        <w:tc>
          <w:tcPr>
            <w:tcW w:w="5103" w:type="dxa"/>
          </w:tcPr>
          <w:p>
            <w:pPr>
              <w:pStyle w:val="TableParagraph"/>
              <w:rPr>
                <w:sz w:val="18"/>
                <w:szCs w:val="18"/>
              </w:rPr>
            </w:pPr>
            <w:r>
              <w:rPr>
                <w:sz w:val="18"/>
                <w:szCs w:val="18"/>
              </w:rPr>
              <w:t>From September 2019 a new monitoring document is to be used to evaluate the impact of the programme more securely but with sensitivity.  Students’ attendance to lessons and school will be monitored as well as behaviour and attitude to learning within lessons.</w:t>
            </w:r>
          </w:p>
        </w:tc>
        <w:tc>
          <w:tcPr>
            <w:tcW w:w="1731" w:type="dxa"/>
          </w:tcPr>
          <w:p>
            <w:pPr>
              <w:pStyle w:val="TableParagraph"/>
              <w:rPr>
                <w:sz w:val="18"/>
                <w:szCs w:val="18"/>
              </w:rPr>
            </w:pPr>
          </w:p>
        </w:tc>
      </w:tr>
      <w:tr>
        <w:trPr>
          <w:trHeight w:val="560"/>
        </w:trPr>
        <w:tc>
          <w:tcPr>
            <w:tcW w:w="2443" w:type="dxa"/>
          </w:tcPr>
          <w:p>
            <w:pPr>
              <w:spacing w:line="288" w:lineRule="auto"/>
              <w:rPr>
                <w:rFonts w:eastAsia="Times New Roman"/>
                <w:sz w:val="18"/>
                <w:szCs w:val="18"/>
                <w:lang w:eastAsia="en-GB"/>
              </w:rPr>
            </w:pPr>
            <w:r>
              <w:rPr>
                <w:rFonts w:eastAsia="Times New Roman"/>
                <w:sz w:val="18"/>
                <w:szCs w:val="18"/>
                <w:lang w:eastAsia="en-GB"/>
              </w:rPr>
              <w:t xml:space="preserve">To further improve school systems in monitoring, analysing and acting upon attendance data.  </w:t>
            </w:r>
          </w:p>
          <w:p>
            <w:pPr>
              <w:pStyle w:val="TableParagraph"/>
              <w:rPr>
                <w:rFonts w:ascii="Times New Roman"/>
                <w:sz w:val="24"/>
              </w:rPr>
            </w:pPr>
          </w:p>
          <w:p>
            <w:pPr>
              <w:pStyle w:val="TableParagraph"/>
              <w:rPr>
                <w:rFonts w:ascii="Times New Roman"/>
                <w:sz w:val="24"/>
              </w:rPr>
            </w:pPr>
            <w:r>
              <w:rPr>
                <w:rFonts w:eastAsia="Times New Roman"/>
                <w:sz w:val="18"/>
                <w:szCs w:val="18"/>
                <w:lang w:eastAsia="en-GB"/>
              </w:rPr>
              <w:t>Employment of school attendance officer from Easter 2019. –Education welfare officer (EWO)</w:t>
            </w:r>
          </w:p>
        </w:tc>
        <w:tc>
          <w:tcPr>
            <w:tcW w:w="2126" w:type="dxa"/>
          </w:tcPr>
          <w:p>
            <w:pPr>
              <w:rPr>
                <w:rFonts w:eastAsia="Times New Roman"/>
                <w:sz w:val="18"/>
                <w:szCs w:val="18"/>
                <w:lang w:eastAsia="en-GB"/>
              </w:rPr>
            </w:pPr>
            <w:r>
              <w:rPr>
                <w:rFonts w:eastAsia="Times New Roman"/>
                <w:sz w:val="18"/>
                <w:szCs w:val="18"/>
                <w:lang w:eastAsia="en-GB"/>
              </w:rPr>
              <w:t>Improve PP students attendance to at least 95%</w:t>
            </w:r>
          </w:p>
          <w:p>
            <w:pPr>
              <w:pStyle w:val="TableParagraph"/>
              <w:rPr>
                <w:rFonts w:ascii="Times New Roman"/>
                <w:sz w:val="24"/>
              </w:rPr>
            </w:pPr>
          </w:p>
        </w:tc>
        <w:tc>
          <w:tcPr>
            <w:tcW w:w="3827" w:type="dxa"/>
          </w:tcPr>
          <w:p>
            <w:pPr>
              <w:pStyle w:val="TableParagraph"/>
              <w:rPr>
                <w:sz w:val="18"/>
                <w:szCs w:val="18"/>
              </w:rPr>
            </w:pPr>
            <w:r>
              <w:rPr>
                <w:sz w:val="18"/>
                <w:szCs w:val="18"/>
              </w:rPr>
              <w:t>See additional data below on attendance figures.</w:t>
            </w:r>
          </w:p>
          <w:p>
            <w:pPr>
              <w:pStyle w:val="TableParagraph"/>
              <w:rPr>
                <w:sz w:val="18"/>
                <w:szCs w:val="18"/>
              </w:rPr>
            </w:pPr>
          </w:p>
          <w:p>
            <w:pPr>
              <w:pStyle w:val="TableParagraph"/>
              <w:rPr>
                <w:sz w:val="18"/>
                <w:szCs w:val="18"/>
              </w:rPr>
            </w:pPr>
            <w:r>
              <w:rPr>
                <w:sz w:val="18"/>
                <w:szCs w:val="18"/>
              </w:rPr>
              <w:t xml:space="preserve">This indicates a whole school PP attendance figure is still not at 95% however improvements have been seen in years 7, 9, 10, 13.  </w:t>
            </w:r>
          </w:p>
          <w:p>
            <w:pPr>
              <w:pStyle w:val="TableParagraph"/>
              <w:rPr>
                <w:sz w:val="18"/>
                <w:szCs w:val="18"/>
              </w:rPr>
            </w:pPr>
          </w:p>
          <w:p>
            <w:pPr>
              <w:pStyle w:val="TableParagraph"/>
              <w:rPr>
                <w:sz w:val="18"/>
                <w:szCs w:val="18"/>
              </w:rPr>
            </w:pPr>
            <w:r>
              <w:rPr>
                <w:sz w:val="18"/>
                <w:szCs w:val="18"/>
              </w:rPr>
              <w:t>Since the appointment of the EWO attendance is improving across all year groups.</w:t>
            </w:r>
          </w:p>
        </w:tc>
        <w:tc>
          <w:tcPr>
            <w:tcW w:w="5103" w:type="dxa"/>
          </w:tcPr>
          <w:p>
            <w:pPr>
              <w:pStyle w:val="TableParagraph"/>
              <w:rPr>
                <w:sz w:val="18"/>
                <w:szCs w:val="18"/>
              </w:rPr>
            </w:pPr>
            <w:r>
              <w:rPr>
                <w:sz w:val="18"/>
                <w:szCs w:val="18"/>
              </w:rPr>
              <w:t>The new attendance working procedures led by the EWO are now embedded and will have an increased impact as they are applied consistently.</w:t>
            </w:r>
          </w:p>
          <w:p>
            <w:pPr>
              <w:pStyle w:val="TableParagraph"/>
              <w:rPr>
                <w:sz w:val="18"/>
                <w:szCs w:val="18"/>
              </w:rPr>
            </w:pPr>
          </w:p>
          <w:p>
            <w:pPr>
              <w:pStyle w:val="TableParagraph"/>
              <w:rPr>
                <w:sz w:val="18"/>
                <w:szCs w:val="18"/>
              </w:rPr>
            </w:pPr>
            <w:r>
              <w:rPr>
                <w:sz w:val="18"/>
                <w:szCs w:val="18"/>
              </w:rPr>
              <w:t xml:space="preserve">From September 2019 a new monitoring document is to be used to evaluate the impact of the EWO more effectively.  </w:t>
            </w:r>
          </w:p>
          <w:p>
            <w:pPr>
              <w:pStyle w:val="TableParagraph"/>
              <w:rPr>
                <w:sz w:val="18"/>
                <w:szCs w:val="18"/>
              </w:rPr>
            </w:pPr>
          </w:p>
          <w:p>
            <w:pPr>
              <w:pStyle w:val="TableParagraph"/>
              <w:rPr>
                <w:sz w:val="18"/>
                <w:szCs w:val="18"/>
              </w:rPr>
            </w:pPr>
          </w:p>
        </w:tc>
        <w:tc>
          <w:tcPr>
            <w:tcW w:w="1731" w:type="dxa"/>
          </w:tcPr>
          <w:p>
            <w:pPr>
              <w:pStyle w:val="TableParagraph"/>
              <w:rPr>
                <w:rFonts w:ascii="Times New Roman"/>
                <w:sz w:val="24"/>
              </w:rPr>
            </w:pPr>
          </w:p>
        </w:tc>
      </w:tr>
      <w:tr>
        <w:trPr>
          <w:trHeight w:val="560"/>
        </w:trPr>
        <w:tc>
          <w:tcPr>
            <w:tcW w:w="2443" w:type="dxa"/>
          </w:tcPr>
          <w:p>
            <w:pPr>
              <w:shd w:val="clear" w:color="auto" w:fill="FFFFFF"/>
              <w:rPr>
                <w:rFonts w:eastAsia="Times New Roman"/>
                <w:sz w:val="18"/>
                <w:szCs w:val="16"/>
                <w:lang w:eastAsia="en-GB"/>
              </w:rPr>
            </w:pPr>
            <w:r>
              <w:rPr>
                <w:rFonts w:eastAsia="Times New Roman"/>
                <w:sz w:val="18"/>
                <w:szCs w:val="16"/>
                <w:lang w:eastAsia="en-GB"/>
              </w:rPr>
              <w:t>Pastoral Leaders to focus on behavior and Inclusion room.</w:t>
            </w:r>
          </w:p>
          <w:p>
            <w:pPr>
              <w:spacing w:line="288" w:lineRule="auto"/>
              <w:rPr>
                <w:rFonts w:eastAsia="Times New Roman"/>
                <w:sz w:val="18"/>
                <w:szCs w:val="18"/>
                <w:lang w:eastAsia="en-GB"/>
              </w:rPr>
            </w:pPr>
          </w:p>
        </w:tc>
        <w:tc>
          <w:tcPr>
            <w:tcW w:w="2126" w:type="dxa"/>
          </w:tcPr>
          <w:p>
            <w:pPr>
              <w:pStyle w:val="TableParagraph"/>
              <w:rPr>
                <w:rFonts w:ascii="Times New Roman"/>
                <w:sz w:val="24"/>
              </w:rPr>
            </w:pPr>
          </w:p>
        </w:tc>
        <w:tc>
          <w:tcPr>
            <w:tcW w:w="3827" w:type="dxa"/>
          </w:tcPr>
          <w:p>
            <w:pPr>
              <w:pStyle w:val="TableParagraph"/>
              <w:rPr>
                <w:rFonts w:ascii="Times New Roman"/>
                <w:sz w:val="24"/>
              </w:rPr>
            </w:pPr>
          </w:p>
        </w:tc>
        <w:tc>
          <w:tcPr>
            <w:tcW w:w="5103" w:type="dxa"/>
          </w:tcPr>
          <w:p>
            <w:pPr>
              <w:pStyle w:val="TableParagraph"/>
              <w:rPr>
                <w:rFonts w:ascii="Times New Roman"/>
                <w:sz w:val="24"/>
              </w:rPr>
            </w:pPr>
          </w:p>
        </w:tc>
        <w:tc>
          <w:tcPr>
            <w:tcW w:w="1731" w:type="dxa"/>
          </w:tcPr>
          <w:p>
            <w:pPr>
              <w:pStyle w:val="TableParagraph"/>
              <w:rPr>
                <w:rFonts w:ascii="Times New Roman"/>
                <w:sz w:val="24"/>
              </w:rPr>
            </w:pPr>
          </w:p>
        </w:tc>
      </w:tr>
      <w:tr>
        <w:trPr>
          <w:trHeight w:val="560"/>
        </w:trPr>
        <w:tc>
          <w:tcPr>
            <w:tcW w:w="2443" w:type="dxa"/>
          </w:tcPr>
          <w:p>
            <w:pPr>
              <w:spacing w:line="288" w:lineRule="auto"/>
              <w:rPr>
                <w:rFonts w:eastAsia="Times New Roman"/>
                <w:sz w:val="18"/>
                <w:szCs w:val="18"/>
                <w:lang w:eastAsia="en-GB"/>
              </w:rPr>
            </w:pPr>
            <w:r>
              <w:rPr>
                <w:rFonts w:eastAsia="Times New Roman"/>
                <w:sz w:val="18"/>
                <w:szCs w:val="18"/>
                <w:lang w:eastAsia="en-GB"/>
              </w:rPr>
              <w:t>Including introduction of new management information system (Arbor).</w:t>
            </w:r>
          </w:p>
          <w:p>
            <w:pPr>
              <w:shd w:val="clear" w:color="auto" w:fill="FFFFFF"/>
              <w:rPr>
                <w:rFonts w:eastAsia="Times New Roman"/>
                <w:sz w:val="18"/>
                <w:szCs w:val="18"/>
                <w:lang w:eastAsia="en-GB"/>
              </w:rPr>
            </w:pPr>
          </w:p>
        </w:tc>
        <w:tc>
          <w:tcPr>
            <w:tcW w:w="2126" w:type="dxa"/>
          </w:tcPr>
          <w:p>
            <w:pPr>
              <w:pStyle w:val="TableParagraph"/>
              <w:rPr>
                <w:sz w:val="18"/>
                <w:szCs w:val="18"/>
              </w:rPr>
            </w:pPr>
            <w:r>
              <w:rPr>
                <w:sz w:val="18"/>
                <w:szCs w:val="18"/>
              </w:rPr>
              <w:t xml:space="preserve">Early intervention will result from access to current PP data. </w:t>
            </w:r>
          </w:p>
        </w:tc>
        <w:tc>
          <w:tcPr>
            <w:tcW w:w="3827" w:type="dxa"/>
          </w:tcPr>
          <w:p>
            <w:pPr>
              <w:pStyle w:val="TableParagraph"/>
              <w:rPr>
                <w:sz w:val="18"/>
                <w:szCs w:val="18"/>
              </w:rPr>
            </w:pPr>
            <w:r>
              <w:rPr>
                <w:sz w:val="18"/>
                <w:szCs w:val="18"/>
              </w:rPr>
              <w:t>Arbor is providing clear access to live data for all staff.</w:t>
            </w:r>
          </w:p>
        </w:tc>
        <w:tc>
          <w:tcPr>
            <w:tcW w:w="5103" w:type="dxa"/>
          </w:tcPr>
          <w:p>
            <w:pPr>
              <w:pStyle w:val="TableParagraph"/>
              <w:rPr>
                <w:sz w:val="18"/>
                <w:szCs w:val="18"/>
              </w:rPr>
            </w:pPr>
            <w:r>
              <w:rPr>
                <w:sz w:val="18"/>
                <w:szCs w:val="18"/>
              </w:rPr>
              <w:t>To continue to build capacity in staff to evaluate information provided by arbor to inform effective next steps.</w:t>
            </w:r>
          </w:p>
        </w:tc>
        <w:tc>
          <w:tcPr>
            <w:tcW w:w="1731" w:type="dxa"/>
          </w:tcPr>
          <w:p>
            <w:pPr>
              <w:pStyle w:val="TableParagraph"/>
              <w:rPr>
                <w:sz w:val="18"/>
                <w:szCs w:val="18"/>
              </w:rPr>
            </w:pPr>
          </w:p>
        </w:tc>
      </w:tr>
      <w:tr>
        <w:trPr>
          <w:trHeight w:val="560"/>
        </w:trPr>
        <w:tc>
          <w:tcPr>
            <w:tcW w:w="2443" w:type="dxa"/>
          </w:tcPr>
          <w:p>
            <w:pPr>
              <w:rPr>
                <w:rFonts w:eastAsia="Times New Roman"/>
                <w:sz w:val="18"/>
                <w:szCs w:val="18"/>
                <w:lang w:eastAsia="en-GB"/>
              </w:rPr>
            </w:pPr>
            <w:r>
              <w:rPr>
                <w:rFonts w:eastAsia="Times New Roman"/>
                <w:sz w:val="18"/>
                <w:szCs w:val="18"/>
                <w:lang w:eastAsia="en-GB"/>
              </w:rPr>
              <w:t>PP Individualised support strategies.</w:t>
            </w:r>
          </w:p>
          <w:p>
            <w:pPr>
              <w:ind w:left="746" w:hanging="683"/>
              <w:rPr>
                <w:rFonts w:eastAsia="Times New Roman"/>
                <w:sz w:val="18"/>
                <w:szCs w:val="18"/>
                <w:highlight w:val="yellow"/>
                <w:lang w:eastAsia="en-GB"/>
              </w:rPr>
            </w:pPr>
          </w:p>
        </w:tc>
        <w:tc>
          <w:tcPr>
            <w:tcW w:w="2126" w:type="dxa"/>
          </w:tcPr>
          <w:p>
            <w:pPr>
              <w:pStyle w:val="TableParagraph"/>
              <w:rPr>
                <w:sz w:val="18"/>
                <w:szCs w:val="18"/>
              </w:rPr>
            </w:pPr>
            <w:r>
              <w:rPr>
                <w:sz w:val="18"/>
                <w:szCs w:val="18"/>
              </w:rPr>
              <w:t>Individualised strategies allows students to make progress in the area of support required.</w:t>
            </w:r>
          </w:p>
        </w:tc>
        <w:tc>
          <w:tcPr>
            <w:tcW w:w="3827" w:type="dxa"/>
          </w:tcPr>
          <w:p>
            <w:pPr>
              <w:pStyle w:val="TableParagraph"/>
              <w:rPr>
                <w:sz w:val="18"/>
                <w:szCs w:val="18"/>
              </w:rPr>
            </w:pPr>
            <w:r>
              <w:rPr>
                <w:sz w:val="18"/>
                <w:szCs w:val="18"/>
              </w:rPr>
              <w:t>For each of these strategies the school has got an evaluation which summarises the impact of each on PP students.</w:t>
            </w:r>
          </w:p>
        </w:tc>
        <w:tc>
          <w:tcPr>
            <w:tcW w:w="5103" w:type="dxa"/>
          </w:tcPr>
          <w:p>
            <w:pPr>
              <w:pStyle w:val="TableParagraph"/>
              <w:rPr>
                <w:sz w:val="18"/>
                <w:szCs w:val="18"/>
              </w:rPr>
            </w:pPr>
            <w:r>
              <w:rPr>
                <w:sz w:val="18"/>
                <w:szCs w:val="18"/>
              </w:rPr>
              <w:t>From September 2019 the staff involve will be asked to complete regular (At least half termly) evaluations of impact.</w:t>
            </w:r>
          </w:p>
          <w:p>
            <w:pPr>
              <w:pStyle w:val="TableParagraph"/>
              <w:rPr>
                <w:sz w:val="18"/>
                <w:szCs w:val="18"/>
              </w:rPr>
            </w:pPr>
          </w:p>
          <w:p>
            <w:pPr>
              <w:pStyle w:val="TableParagraph"/>
              <w:rPr>
                <w:sz w:val="18"/>
                <w:szCs w:val="18"/>
              </w:rPr>
            </w:pPr>
          </w:p>
        </w:tc>
        <w:tc>
          <w:tcPr>
            <w:tcW w:w="1731" w:type="dxa"/>
          </w:tcPr>
          <w:p>
            <w:pPr>
              <w:pStyle w:val="TableParagraph"/>
              <w:rPr>
                <w:sz w:val="18"/>
                <w:szCs w:val="18"/>
              </w:rPr>
            </w:pPr>
          </w:p>
        </w:tc>
      </w:tr>
    </w:tbl>
    <w:p>
      <w:pPr>
        <w:rPr>
          <w:rFonts w:ascii="Times New Roman"/>
          <w:sz w:val="24"/>
        </w:rPr>
        <w:sectPr>
          <w:footerReference w:type="default" r:id="rId8"/>
          <w:pgSz w:w="16850" w:h="11930" w:orient="landscape"/>
          <w:pgMar w:top="284" w:right="561" w:bottom="312" w:left="743" w:header="0" w:footer="0" w:gutter="0"/>
          <w:cols w:space="720"/>
        </w:sectPr>
      </w:pPr>
    </w:p>
    <w:p>
      <w:pPr>
        <w:pStyle w:val="BodyText"/>
        <w:spacing w:line="273" w:lineRule="exact"/>
        <w:ind w:left="7492" w:right="7430"/>
        <w:jc w:val="center"/>
        <w:rPr>
          <w:color w:val="0D0D0D"/>
        </w:rPr>
      </w:pPr>
    </w:p>
    <w:p>
      <w:pPr>
        <w:pStyle w:val="BodyText"/>
        <w:spacing w:line="273" w:lineRule="exact"/>
        <w:ind w:left="7492" w:right="7430"/>
        <w:jc w:val="center"/>
        <w:rPr>
          <w:color w:val="0D0D0D"/>
        </w:rPr>
      </w:pPr>
    </w:p>
    <w:p>
      <w:pPr>
        <w:pStyle w:val="BodyText"/>
        <w:spacing w:line="273" w:lineRule="exact"/>
        <w:ind w:left="851" w:right="7430"/>
        <w:rPr>
          <w:color w:val="0D0D0D"/>
        </w:rPr>
      </w:pPr>
      <w:r>
        <w:rPr>
          <w:color w:val="0D0D0D"/>
        </w:rPr>
        <w:t>Additional information:</w:t>
      </w:r>
    </w:p>
    <w:p>
      <w:pPr>
        <w:pStyle w:val="BodyText"/>
        <w:spacing w:line="273" w:lineRule="exact"/>
        <w:ind w:left="851" w:right="7430"/>
      </w:pPr>
    </w:p>
    <w:p>
      <w:pPr>
        <w:pStyle w:val="BodyText"/>
        <w:ind w:left="784"/>
      </w:pPr>
      <w:r>
        <w:t xml:space="preserve">In this section you can annex or refer to </w:t>
      </w:r>
      <w:r>
        <w:rPr>
          <w:b/>
        </w:rPr>
        <w:t xml:space="preserve">additional </w:t>
      </w:r>
      <w:r>
        <w:t>information which you have used to inform the statement above.</w:t>
      </w:r>
    </w:p>
    <w:p>
      <w:pPr>
        <w:pStyle w:val="BodyText"/>
        <w:ind w:left="784"/>
      </w:pPr>
    </w:p>
    <w:p>
      <w:pPr>
        <w:pStyle w:val="BodyText"/>
        <w:ind w:left="784"/>
      </w:pPr>
    </w:p>
    <w:p>
      <w:pPr>
        <w:pStyle w:val="BodyText"/>
        <w:ind w:left="784"/>
      </w:pPr>
      <w:r>
        <w:t>The school has based this impact summary from the analysis of a number in school evaluations and outcome data.</w:t>
      </w:r>
    </w:p>
    <w:p>
      <w:pPr>
        <w:pStyle w:val="BodyText"/>
        <w:ind w:left="784"/>
      </w:pPr>
    </w:p>
    <w:tbl>
      <w:tblPr>
        <w:tblpPr w:leftFromText="180" w:rightFromText="180" w:vertAnchor="text" w:horzAnchor="margin" w:tblpXSpec="right" w:tblpY="4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984"/>
        <w:gridCol w:w="1178"/>
        <w:gridCol w:w="1505"/>
      </w:tblGrid>
      <w:tr>
        <w:trPr>
          <w:trHeight w:val="903"/>
        </w:trPr>
        <w:tc>
          <w:tcPr>
            <w:tcW w:w="3833" w:type="dxa"/>
            <w:shd w:val="clear" w:color="000000" w:fill="FFFFFF"/>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Measure</w:t>
            </w:r>
          </w:p>
        </w:tc>
        <w:tc>
          <w:tcPr>
            <w:tcW w:w="1984" w:type="dxa"/>
            <w:shd w:val="clear" w:color="000000" w:fill="FFFFFF"/>
            <w:vAlign w:val="center"/>
            <w:hideMark/>
          </w:tcPr>
          <w:p>
            <w:pPr>
              <w:ind w:firstLineChars="100" w:firstLine="231"/>
              <w:jc w:val="center"/>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Disadvantaged Students</w:t>
            </w:r>
          </w:p>
        </w:tc>
        <w:tc>
          <w:tcPr>
            <w:tcW w:w="1178" w:type="dxa"/>
            <w:shd w:val="clear" w:color="000000" w:fill="FFFFFF"/>
            <w:vAlign w:val="center"/>
            <w:hideMark/>
          </w:tcPr>
          <w:p>
            <w:pPr>
              <w:jc w:val="center"/>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EPCHS Non PP Students</w:t>
            </w:r>
          </w:p>
        </w:tc>
        <w:tc>
          <w:tcPr>
            <w:tcW w:w="1505" w:type="dxa"/>
            <w:shd w:val="clear" w:color="000000" w:fill="FFFFFF"/>
            <w:vAlign w:val="center"/>
            <w:hideMark/>
          </w:tcPr>
          <w:p>
            <w:pPr>
              <w:ind w:firstLineChars="100" w:firstLine="231"/>
              <w:jc w:val="center"/>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Gap</w:t>
            </w:r>
          </w:p>
        </w:tc>
      </w:tr>
      <w:tr>
        <w:trPr>
          <w:trHeight w:val="296"/>
        </w:trPr>
        <w:tc>
          <w:tcPr>
            <w:tcW w:w="3833" w:type="dxa"/>
            <w:shd w:val="clear" w:color="auto" w:fill="FBD4B4" w:themeFill="accent6" w:themeFillTint="66"/>
            <w:vAlign w:val="center"/>
          </w:tcPr>
          <w:p>
            <w:pPr>
              <w:ind w:firstLineChars="100" w:firstLine="231"/>
              <w:rPr>
                <w:rFonts w:ascii="Calibri" w:eastAsia="Times New Roman" w:hAnsi="Calibri" w:cs="Times New Roman"/>
                <w:b/>
                <w:sz w:val="23"/>
                <w:szCs w:val="23"/>
                <w:lang w:eastAsia="en-GB"/>
              </w:rPr>
            </w:pPr>
            <w:r>
              <w:rPr>
                <w:rFonts w:ascii="Calibri" w:eastAsia="Times New Roman" w:hAnsi="Calibri" w:cs="Times New Roman"/>
                <w:b/>
                <w:sz w:val="23"/>
                <w:szCs w:val="23"/>
                <w:lang w:eastAsia="en-GB"/>
              </w:rPr>
              <w:t>PROGRESS 8</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Progress 8</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-0.61</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-0.08</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-0.53</w:t>
            </w: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P8 Targets:</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-0.2</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-0.01</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-0.19</w:t>
            </w: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Progress 8 score English Lit</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-0.56</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-0.06</w:t>
            </w: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Progress 8 score English Lang</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-0.50</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-0.17</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-0.33</w:t>
            </w: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Progress 8 score Maths</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-1.22</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-0.52</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-0.7</w:t>
            </w:r>
          </w:p>
        </w:tc>
      </w:tr>
      <w:tr>
        <w:trPr>
          <w:trHeight w:val="296"/>
        </w:trPr>
        <w:tc>
          <w:tcPr>
            <w:tcW w:w="3833" w:type="dxa"/>
            <w:shd w:val="clear" w:color="auto" w:fill="FBD4B4" w:themeFill="accent6" w:themeFillTint="66"/>
            <w:vAlign w:val="center"/>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ATTAINMENT 8</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English Attainment 8</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7.78</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9.57</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-1.79</w:t>
            </w:r>
          </w:p>
        </w:tc>
      </w:tr>
      <w:tr>
        <w:trPr>
          <w:trHeight w:val="296"/>
        </w:trPr>
        <w:tc>
          <w:tcPr>
            <w:tcW w:w="3833"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2019 Maths Attainment 8</w:t>
            </w:r>
          </w:p>
        </w:tc>
        <w:tc>
          <w:tcPr>
            <w:tcW w:w="1984"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5.72</w:t>
            </w:r>
          </w:p>
        </w:tc>
        <w:tc>
          <w:tcPr>
            <w:tcW w:w="1178"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8.35</w:t>
            </w:r>
          </w:p>
        </w:tc>
        <w:tc>
          <w:tcPr>
            <w:tcW w:w="1505" w:type="dxa"/>
            <w:shd w:val="clear" w:color="auto" w:fill="FBD4B4" w:themeFill="accent6"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-2.63</w:t>
            </w:r>
          </w:p>
        </w:tc>
      </w:tr>
      <w:tr>
        <w:trPr>
          <w:trHeight w:val="296"/>
        </w:trPr>
        <w:tc>
          <w:tcPr>
            <w:tcW w:w="3833" w:type="dxa"/>
            <w:shd w:val="clear" w:color="auto" w:fill="CCC0D9" w:themeFill="accent4" w:themeFillTint="66"/>
            <w:vAlign w:val="center"/>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Progress 8</w:t>
            </w:r>
          </w:p>
        </w:tc>
        <w:tc>
          <w:tcPr>
            <w:tcW w:w="1984"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p>
        </w:tc>
        <w:tc>
          <w:tcPr>
            <w:tcW w:w="1178"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p>
        </w:tc>
        <w:tc>
          <w:tcPr>
            <w:tcW w:w="1505"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p>
        </w:tc>
      </w:tr>
      <w:tr>
        <w:trPr>
          <w:trHeight w:val="296"/>
        </w:trPr>
        <w:tc>
          <w:tcPr>
            <w:tcW w:w="3833"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2018 Progress 8</w:t>
            </w:r>
          </w:p>
        </w:tc>
        <w:tc>
          <w:tcPr>
            <w:tcW w:w="1984"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-0.74</w:t>
            </w:r>
          </w:p>
        </w:tc>
        <w:tc>
          <w:tcPr>
            <w:tcW w:w="1178"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-0.15</w:t>
            </w:r>
          </w:p>
        </w:tc>
        <w:tc>
          <w:tcPr>
            <w:tcW w:w="1505"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-0.59</w:t>
            </w:r>
          </w:p>
        </w:tc>
      </w:tr>
      <w:tr>
        <w:trPr>
          <w:trHeight w:val="296"/>
        </w:trPr>
        <w:tc>
          <w:tcPr>
            <w:tcW w:w="3833"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 xml:space="preserve">2018 Progress 8 score English </w:t>
            </w:r>
          </w:p>
        </w:tc>
        <w:tc>
          <w:tcPr>
            <w:tcW w:w="1984" w:type="dxa"/>
            <w:shd w:val="clear" w:color="auto" w:fill="CCC0D9" w:themeFill="accent4" w:themeFillTint="66"/>
            <w:vAlign w:val="center"/>
            <w:hideMark/>
          </w:tcPr>
          <w:p>
            <w:pPr>
              <w:ind w:firstLineChars="100" w:firstLine="230"/>
              <w:rPr>
                <w:rFonts w:ascii="Calibri" w:eastAsia="Times New Roman" w:hAnsi="Calibri" w:cs="Times New Roman"/>
                <w:bCs/>
                <w:sz w:val="23"/>
                <w:szCs w:val="23"/>
                <w:lang w:eastAsia="en-GB"/>
              </w:rPr>
            </w:pPr>
            <w:r>
              <w:rPr>
                <w:rFonts w:ascii="Calibri" w:eastAsia="Times New Roman" w:hAnsi="Calibri" w:cs="Times New Roman"/>
                <w:bCs/>
                <w:sz w:val="23"/>
                <w:szCs w:val="23"/>
                <w:lang w:eastAsia="en-GB"/>
              </w:rPr>
              <w:t> -0.38</w:t>
            </w:r>
          </w:p>
        </w:tc>
        <w:tc>
          <w:tcPr>
            <w:tcW w:w="1178" w:type="dxa"/>
            <w:shd w:val="clear" w:color="auto" w:fill="CCC0D9" w:themeFill="accent4" w:themeFillTint="66"/>
            <w:vAlign w:val="center"/>
            <w:hideMark/>
          </w:tcPr>
          <w:p>
            <w:pPr>
              <w:ind w:firstLineChars="100" w:firstLine="230"/>
              <w:rPr>
                <w:rFonts w:ascii="Calibri" w:eastAsia="Times New Roman" w:hAnsi="Calibri" w:cs="Times New Roman"/>
                <w:bCs/>
                <w:sz w:val="23"/>
                <w:szCs w:val="23"/>
                <w:lang w:eastAsia="en-GB"/>
              </w:rPr>
            </w:pPr>
            <w:r>
              <w:rPr>
                <w:rFonts w:ascii="Calibri" w:eastAsia="Times New Roman" w:hAnsi="Calibri" w:cs="Times New Roman"/>
                <w:bCs/>
                <w:sz w:val="23"/>
                <w:szCs w:val="23"/>
                <w:lang w:eastAsia="en-GB"/>
              </w:rPr>
              <w:t> -0.14</w:t>
            </w:r>
          </w:p>
        </w:tc>
        <w:tc>
          <w:tcPr>
            <w:tcW w:w="1505" w:type="dxa"/>
            <w:shd w:val="clear" w:color="auto" w:fill="CCC0D9" w:themeFill="accent4" w:themeFillTint="66"/>
            <w:vAlign w:val="center"/>
            <w:hideMark/>
          </w:tcPr>
          <w:p>
            <w:pPr>
              <w:ind w:firstLineChars="100" w:firstLine="230"/>
              <w:rPr>
                <w:rFonts w:ascii="Calibri" w:eastAsia="Times New Roman" w:hAnsi="Calibri" w:cs="Times New Roman"/>
                <w:bCs/>
                <w:sz w:val="23"/>
                <w:szCs w:val="23"/>
                <w:lang w:eastAsia="en-GB"/>
              </w:rPr>
            </w:pPr>
            <w:r>
              <w:rPr>
                <w:rFonts w:ascii="Calibri" w:eastAsia="Times New Roman" w:hAnsi="Calibri" w:cs="Times New Roman"/>
                <w:bCs/>
                <w:sz w:val="23"/>
                <w:szCs w:val="23"/>
                <w:lang w:eastAsia="en-GB"/>
              </w:rPr>
              <w:t> -0.24</w:t>
            </w:r>
          </w:p>
        </w:tc>
      </w:tr>
      <w:tr>
        <w:trPr>
          <w:trHeight w:val="296"/>
        </w:trPr>
        <w:tc>
          <w:tcPr>
            <w:tcW w:w="3833"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2018 Progress score Maths</w:t>
            </w:r>
          </w:p>
        </w:tc>
        <w:tc>
          <w:tcPr>
            <w:tcW w:w="1984"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-1.38</w:t>
            </w:r>
          </w:p>
        </w:tc>
        <w:tc>
          <w:tcPr>
            <w:tcW w:w="1178"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-0.98</w:t>
            </w:r>
          </w:p>
        </w:tc>
        <w:tc>
          <w:tcPr>
            <w:tcW w:w="1505"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-0.4</w:t>
            </w:r>
          </w:p>
        </w:tc>
      </w:tr>
      <w:tr>
        <w:trPr>
          <w:trHeight w:val="296"/>
        </w:trPr>
        <w:tc>
          <w:tcPr>
            <w:tcW w:w="3833" w:type="dxa"/>
            <w:shd w:val="clear" w:color="auto" w:fill="CCC0D9" w:themeFill="accent4"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ATTAINMENT 8</w:t>
            </w:r>
          </w:p>
        </w:tc>
        <w:tc>
          <w:tcPr>
            <w:tcW w:w="1984" w:type="dxa"/>
            <w:shd w:val="clear" w:color="auto" w:fill="CCC0D9" w:themeFill="accent4"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 </w:t>
            </w:r>
          </w:p>
        </w:tc>
        <w:tc>
          <w:tcPr>
            <w:tcW w:w="1178" w:type="dxa"/>
            <w:shd w:val="clear" w:color="auto" w:fill="CCC0D9" w:themeFill="accent4"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 </w:t>
            </w:r>
          </w:p>
        </w:tc>
        <w:tc>
          <w:tcPr>
            <w:tcW w:w="1505" w:type="dxa"/>
            <w:shd w:val="clear" w:color="auto" w:fill="CCC0D9" w:themeFill="accent4"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 </w:t>
            </w:r>
          </w:p>
        </w:tc>
      </w:tr>
      <w:tr>
        <w:trPr>
          <w:trHeight w:val="296"/>
        </w:trPr>
        <w:tc>
          <w:tcPr>
            <w:tcW w:w="3833"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2018 English Attainment 8</w:t>
            </w:r>
          </w:p>
        </w:tc>
        <w:tc>
          <w:tcPr>
            <w:tcW w:w="1984"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7.95</w:t>
            </w:r>
          </w:p>
        </w:tc>
        <w:tc>
          <w:tcPr>
            <w:tcW w:w="1178"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9.69</w:t>
            </w:r>
          </w:p>
        </w:tc>
        <w:tc>
          <w:tcPr>
            <w:tcW w:w="1505" w:type="dxa"/>
            <w:shd w:val="clear" w:color="auto" w:fill="CCC0D9" w:themeFill="accent4"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-1.74</w:t>
            </w:r>
          </w:p>
        </w:tc>
      </w:tr>
      <w:tr>
        <w:trPr>
          <w:trHeight w:val="296"/>
        </w:trPr>
        <w:tc>
          <w:tcPr>
            <w:tcW w:w="3833"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2018 Maths Attainment 8</w:t>
            </w:r>
          </w:p>
        </w:tc>
        <w:tc>
          <w:tcPr>
            <w:tcW w:w="1984"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5.62</w:t>
            </w:r>
          </w:p>
        </w:tc>
        <w:tc>
          <w:tcPr>
            <w:tcW w:w="1178"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7.29</w:t>
            </w:r>
          </w:p>
        </w:tc>
        <w:tc>
          <w:tcPr>
            <w:tcW w:w="1505" w:type="dxa"/>
            <w:shd w:val="clear" w:color="auto" w:fill="CCC0D9" w:themeFill="accent4" w:themeFillTint="66"/>
            <w:vAlign w:val="center"/>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-1.67</w:t>
            </w:r>
          </w:p>
        </w:tc>
      </w:tr>
      <w:tr>
        <w:trPr>
          <w:trHeight w:val="296"/>
        </w:trPr>
        <w:tc>
          <w:tcPr>
            <w:tcW w:w="3833" w:type="dxa"/>
            <w:shd w:val="clear" w:color="auto" w:fill="B8CCE4" w:themeFill="accent1"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PROGRESS 8</w:t>
            </w:r>
          </w:p>
        </w:tc>
        <w:tc>
          <w:tcPr>
            <w:tcW w:w="1984"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c>
          <w:tcPr>
            <w:tcW w:w="1178"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c>
          <w:tcPr>
            <w:tcW w:w="1505"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r>
      <w:tr>
        <w:trPr>
          <w:trHeight w:val="296"/>
        </w:trPr>
        <w:tc>
          <w:tcPr>
            <w:tcW w:w="3833"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2017 Progress 8</w:t>
            </w:r>
          </w:p>
        </w:tc>
        <w:tc>
          <w:tcPr>
            <w:tcW w:w="1984"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-0.6</w:t>
            </w:r>
          </w:p>
        </w:tc>
        <w:tc>
          <w:tcPr>
            <w:tcW w:w="1178"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-0.56</w:t>
            </w:r>
          </w:p>
        </w:tc>
        <w:tc>
          <w:tcPr>
            <w:tcW w:w="1505"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-0.04</w:t>
            </w:r>
          </w:p>
        </w:tc>
      </w:tr>
      <w:tr>
        <w:trPr>
          <w:trHeight w:val="296"/>
        </w:trPr>
        <w:tc>
          <w:tcPr>
            <w:tcW w:w="3833"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2017 Progress 8 score English</w:t>
            </w:r>
          </w:p>
        </w:tc>
        <w:tc>
          <w:tcPr>
            <w:tcW w:w="1984"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-0.22</w:t>
            </w:r>
          </w:p>
        </w:tc>
        <w:tc>
          <w:tcPr>
            <w:tcW w:w="1178"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-0.44</w:t>
            </w:r>
          </w:p>
        </w:tc>
        <w:tc>
          <w:tcPr>
            <w:tcW w:w="1505"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0.22</w:t>
            </w:r>
          </w:p>
        </w:tc>
      </w:tr>
      <w:tr>
        <w:trPr>
          <w:trHeight w:val="296"/>
        </w:trPr>
        <w:tc>
          <w:tcPr>
            <w:tcW w:w="3833"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2017 Progress score Maths</w:t>
            </w:r>
          </w:p>
        </w:tc>
        <w:tc>
          <w:tcPr>
            <w:tcW w:w="1984"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-1.1</w:t>
            </w:r>
          </w:p>
        </w:tc>
        <w:tc>
          <w:tcPr>
            <w:tcW w:w="1178"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-0.83</w:t>
            </w:r>
          </w:p>
        </w:tc>
        <w:tc>
          <w:tcPr>
            <w:tcW w:w="1505"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-0.27</w:t>
            </w:r>
          </w:p>
        </w:tc>
      </w:tr>
      <w:tr>
        <w:trPr>
          <w:trHeight w:val="296"/>
        </w:trPr>
        <w:tc>
          <w:tcPr>
            <w:tcW w:w="3833" w:type="dxa"/>
            <w:shd w:val="clear" w:color="auto" w:fill="B8CCE4" w:themeFill="accent1" w:themeFillTint="66"/>
            <w:vAlign w:val="center"/>
            <w:hideMark/>
          </w:tcPr>
          <w:p>
            <w:pPr>
              <w:ind w:firstLineChars="100" w:firstLine="231"/>
              <w:rPr>
                <w:rFonts w:ascii="Calibri" w:eastAsia="Times New Roman" w:hAnsi="Calibri" w:cs="Times New Roman"/>
                <w:b/>
                <w:bCs/>
                <w:sz w:val="23"/>
                <w:szCs w:val="23"/>
                <w:lang w:eastAsia="en-GB"/>
              </w:rPr>
            </w:pPr>
            <w:r>
              <w:rPr>
                <w:rFonts w:ascii="Calibri" w:eastAsia="Times New Roman" w:hAnsi="Calibri" w:cs="Times New Roman"/>
                <w:b/>
                <w:bCs/>
                <w:sz w:val="23"/>
                <w:szCs w:val="23"/>
                <w:lang w:eastAsia="en-GB"/>
              </w:rPr>
              <w:t>ATTAINMENT 8</w:t>
            </w:r>
          </w:p>
        </w:tc>
        <w:tc>
          <w:tcPr>
            <w:tcW w:w="1984"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c>
          <w:tcPr>
            <w:tcW w:w="1178"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c>
          <w:tcPr>
            <w:tcW w:w="1505" w:type="dxa"/>
            <w:shd w:val="clear" w:color="auto" w:fill="B8CCE4" w:themeFill="accent1" w:themeFillTint="66"/>
            <w:hideMark/>
          </w:tcPr>
          <w:p>
            <w:pPr>
              <w:ind w:firstLineChars="100" w:firstLine="220"/>
              <w:rPr>
                <w:rFonts w:ascii="Calibri" w:eastAsia="Times New Roman" w:hAnsi="Calibri" w:cs="Times New Roman"/>
                <w:lang w:eastAsia="en-GB"/>
              </w:rPr>
            </w:pPr>
            <w:r>
              <w:rPr>
                <w:rFonts w:ascii="Calibri" w:eastAsia="Times New Roman" w:hAnsi="Calibri" w:cs="Times New Roman"/>
                <w:lang w:eastAsia="en-GB"/>
              </w:rPr>
              <w:t> </w:t>
            </w:r>
          </w:p>
        </w:tc>
      </w:tr>
      <w:tr>
        <w:trPr>
          <w:trHeight w:val="296"/>
        </w:trPr>
        <w:tc>
          <w:tcPr>
            <w:tcW w:w="3833"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2017 English Attainment 8</w:t>
            </w:r>
          </w:p>
        </w:tc>
        <w:tc>
          <w:tcPr>
            <w:tcW w:w="1984"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8.07</w:t>
            </w:r>
          </w:p>
        </w:tc>
        <w:tc>
          <w:tcPr>
            <w:tcW w:w="1178"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9.27</w:t>
            </w:r>
          </w:p>
        </w:tc>
        <w:tc>
          <w:tcPr>
            <w:tcW w:w="1505" w:type="dxa"/>
            <w:shd w:val="clear" w:color="auto" w:fill="B8CCE4" w:themeFill="accent1" w:themeFillTint="66"/>
            <w:vAlign w:val="center"/>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-1.2</w:t>
            </w:r>
          </w:p>
        </w:tc>
      </w:tr>
      <w:tr>
        <w:trPr>
          <w:trHeight w:val="296"/>
        </w:trPr>
        <w:tc>
          <w:tcPr>
            <w:tcW w:w="3833" w:type="dxa"/>
            <w:vMerge w:val="restart"/>
            <w:shd w:val="clear" w:color="auto" w:fill="B8CCE4" w:themeFill="accent1" w:themeFillTint="66"/>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2017 Maths Attainment 8</w:t>
            </w:r>
          </w:p>
        </w:tc>
        <w:tc>
          <w:tcPr>
            <w:tcW w:w="1984" w:type="dxa"/>
            <w:vMerge w:val="restart"/>
            <w:shd w:val="clear" w:color="auto" w:fill="B8CCE4" w:themeFill="accent1" w:themeFillTint="66"/>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5.63</w:t>
            </w:r>
          </w:p>
        </w:tc>
        <w:tc>
          <w:tcPr>
            <w:tcW w:w="1178" w:type="dxa"/>
            <w:vMerge w:val="restart"/>
            <w:shd w:val="clear" w:color="auto" w:fill="B8CCE4" w:themeFill="accent1" w:themeFillTint="66"/>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7.88</w:t>
            </w:r>
          </w:p>
        </w:tc>
        <w:tc>
          <w:tcPr>
            <w:tcW w:w="1505" w:type="dxa"/>
            <w:vMerge w:val="restart"/>
            <w:shd w:val="clear" w:color="auto" w:fill="B8CCE4" w:themeFill="accent1" w:themeFillTint="66"/>
            <w:hideMark/>
          </w:tcPr>
          <w:p>
            <w:pPr>
              <w:ind w:firstLineChars="100" w:firstLine="230"/>
              <w:rPr>
                <w:rFonts w:ascii="Calibri" w:eastAsia="Times New Roman" w:hAnsi="Calibri" w:cs="Times New Roman"/>
                <w:sz w:val="23"/>
                <w:szCs w:val="23"/>
                <w:lang w:eastAsia="en-GB"/>
              </w:rPr>
            </w:pPr>
            <w:r>
              <w:rPr>
                <w:rFonts w:ascii="Calibri" w:eastAsia="Times New Roman" w:hAnsi="Calibri" w:cs="Times New Roman"/>
                <w:sz w:val="23"/>
                <w:szCs w:val="23"/>
                <w:lang w:eastAsia="en-GB"/>
              </w:rPr>
              <w:t>-2.25</w:t>
            </w:r>
          </w:p>
        </w:tc>
      </w:tr>
      <w:tr>
        <w:trPr>
          <w:trHeight w:val="450"/>
        </w:trPr>
        <w:tc>
          <w:tcPr>
            <w:tcW w:w="3833" w:type="dxa"/>
            <w:vMerge/>
            <w:shd w:val="clear" w:color="auto" w:fill="B8CCE4" w:themeFill="accent1" w:themeFillTint="66"/>
            <w:vAlign w:val="center"/>
            <w:hideMark/>
          </w:tcPr>
          <w:p>
            <w:pPr>
              <w:rPr>
                <w:rFonts w:ascii="Calibri" w:eastAsia="Times New Roman" w:hAnsi="Calibri" w:cs="Times New Roman"/>
                <w:sz w:val="23"/>
                <w:szCs w:val="23"/>
                <w:lang w:eastAsia="en-GB"/>
              </w:rPr>
            </w:pPr>
          </w:p>
        </w:tc>
        <w:tc>
          <w:tcPr>
            <w:tcW w:w="1984" w:type="dxa"/>
            <w:vMerge/>
            <w:shd w:val="clear" w:color="auto" w:fill="B8CCE4" w:themeFill="accent1" w:themeFillTint="66"/>
            <w:vAlign w:val="center"/>
            <w:hideMark/>
          </w:tcPr>
          <w:p>
            <w:pPr>
              <w:rPr>
                <w:rFonts w:ascii="Calibri" w:eastAsia="Times New Roman" w:hAnsi="Calibri" w:cs="Times New Roman"/>
                <w:sz w:val="23"/>
                <w:szCs w:val="23"/>
                <w:lang w:eastAsia="en-GB"/>
              </w:rPr>
            </w:pPr>
          </w:p>
        </w:tc>
        <w:tc>
          <w:tcPr>
            <w:tcW w:w="1178" w:type="dxa"/>
            <w:vMerge/>
            <w:shd w:val="clear" w:color="auto" w:fill="B8CCE4" w:themeFill="accent1" w:themeFillTint="66"/>
            <w:vAlign w:val="center"/>
            <w:hideMark/>
          </w:tcPr>
          <w:p>
            <w:pPr>
              <w:rPr>
                <w:rFonts w:ascii="Calibri" w:eastAsia="Times New Roman" w:hAnsi="Calibri" w:cs="Times New Roman"/>
                <w:sz w:val="23"/>
                <w:szCs w:val="23"/>
                <w:lang w:eastAsia="en-GB"/>
              </w:rPr>
            </w:pPr>
          </w:p>
        </w:tc>
        <w:tc>
          <w:tcPr>
            <w:tcW w:w="1505" w:type="dxa"/>
            <w:vMerge/>
            <w:shd w:val="clear" w:color="auto" w:fill="B8CCE4" w:themeFill="accent1" w:themeFillTint="66"/>
            <w:vAlign w:val="center"/>
            <w:hideMark/>
          </w:tcPr>
          <w:p>
            <w:pPr>
              <w:rPr>
                <w:rFonts w:ascii="Calibri" w:eastAsia="Times New Roman" w:hAnsi="Calibri" w:cs="Times New Roman"/>
                <w:sz w:val="23"/>
                <w:szCs w:val="23"/>
                <w:lang w:eastAsia="en-GB"/>
              </w:rPr>
            </w:pPr>
          </w:p>
        </w:tc>
      </w:tr>
    </w:tbl>
    <w:p>
      <w:pPr>
        <w:pStyle w:val="BodyText"/>
        <w:ind w:left="784"/>
      </w:pPr>
      <w:r>
        <w:t>Our 3 year trend of GCSE results:</w:t>
      </w:r>
    </w:p>
    <w:p>
      <w:pPr>
        <w:pStyle w:val="BodyText"/>
        <w:ind w:left="784"/>
      </w:pPr>
    </w:p>
    <w:p>
      <w:pPr>
        <w:pStyle w:val="BodyText"/>
        <w:numPr>
          <w:ilvl w:val="0"/>
          <w:numId w:val="18"/>
        </w:numPr>
      </w:pPr>
      <w:r>
        <w:t>Progress 8 has improved year on year for PP students but requires further improvement reduce gap to non PP students.</w:t>
      </w:r>
    </w:p>
    <w:p>
      <w:pPr>
        <w:pStyle w:val="BodyText"/>
        <w:numPr>
          <w:ilvl w:val="0"/>
          <w:numId w:val="18"/>
        </w:numPr>
      </w:pPr>
      <w:r>
        <w:t xml:space="preserve">Final Progress 8 figures show that students were half a grade away from their target grade.  </w:t>
      </w:r>
    </w:p>
    <w:p>
      <w:pPr>
        <w:pStyle w:val="BodyText"/>
        <w:numPr>
          <w:ilvl w:val="0"/>
          <w:numId w:val="18"/>
        </w:numPr>
      </w:pPr>
      <w:r>
        <w:t>Maths outcomes for PP students has shown a slight improvement in 2019 however this is a key area for improvement.</w:t>
      </w:r>
    </w:p>
    <w:p>
      <w:pPr>
        <w:pStyle w:val="BodyText"/>
        <w:numPr>
          <w:ilvl w:val="0"/>
          <w:numId w:val="18"/>
        </w:numPr>
      </w:pPr>
      <w:r>
        <w:t>The improvement made within English in 2018 has not been sustained.</w:t>
      </w:r>
    </w:p>
    <w:p>
      <w:pPr>
        <w:pStyle w:val="BodyText"/>
        <w:numPr>
          <w:ilvl w:val="0"/>
          <w:numId w:val="18"/>
        </w:numPr>
      </w:pPr>
      <w:r>
        <w:t>The improvement in the P8 score for disadvantaged has been less than that for those non PP students causing the gap to widen.  Closing this remains a key priority for the school.</w:t>
      </w:r>
    </w:p>
    <w:p>
      <w:pPr>
        <w:pStyle w:val="BodyText"/>
        <w:numPr>
          <w:ilvl w:val="0"/>
          <w:numId w:val="18"/>
        </w:numPr>
      </w:pPr>
      <w:r>
        <w:t>The progress 8 score for 33 students who completed year 11 is -0.32 which would demonstrate a gap -0.30.</w:t>
      </w: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r>
        <w:t>Internal progress Data</w:t>
      </w:r>
    </w:p>
    <w:tbl>
      <w:tblPr>
        <w:tblpPr w:leftFromText="180" w:rightFromText="180" w:vertAnchor="text" w:horzAnchor="page" w:tblpX="7215" w:tblpY="48"/>
        <w:tblW w:w="4469" w:type="dxa"/>
        <w:tblCellMar>
          <w:left w:w="0" w:type="dxa"/>
          <w:right w:w="0" w:type="dxa"/>
        </w:tblCellMar>
        <w:tblLook w:val="0600" w:firstRow="0" w:lastRow="0" w:firstColumn="0" w:lastColumn="0" w:noHBand="1" w:noVBand="1"/>
      </w:tblPr>
      <w:tblGrid>
        <w:gridCol w:w="2329"/>
        <w:gridCol w:w="2140"/>
      </w:tblGrid>
      <w:tr>
        <w:trPr>
          <w:trHeight w:val="276"/>
        </w:trPr>
        <w:tc>
          <w:tcPr>
            <w:tcW w:w="2329"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pPr>
              <w:pStyle w:val="BodyText"/>
              <w:ind w:left="784"/>
              <w:rPr>
                <w:sz w:val="18"/>
                <w:szCs w:val="18"/>
                <w:lang w:val="en-GB"/>
              </w:rPr>
            </w:pPr>
          </w:p>
        </w:tc>
        <w:tc>
          <w:tcPr>
            <w:tcW w:w="214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pPr>
              <w:pStyle w:val="BodyText"/>
              <w:ind w:left="208"/>
              <w:rPr>
                <w:sz w:val="18"/>
                <w:szCs w:val="18"/>
                <w:lang w:val="en-GB"/>
              </w:rPr>
            </w:pPr>
            <w:r>
              <w:rPr>
                <w:b/>
                <w:bCs/>
                <w:sz w:val="18"/>
                <w:szCs w:val="18"/>
                <w:lang w:val="en-GB"/>
              </w:rPr>
              <w:t>Progress 8 Gap PP-Non PP</w:t>
            </w:r>
          </w:p>
          <w:p>
            <w:pPr>
              <w:pStyle w:val="BodyText"/>
              <w:ind w:left="66"/>
              <w:rPr>
                <w:sz w:val="18"/>
                <w:szCs w:val="18"/>
                <w:lang w:val="en-GB"/>
              </w:rPr>
            </w:pPr>
            <w:r>
              <w:rPr>
                <w:b/>
                <w:bCs/>
                <w:sz w:val="18"/>
                <w:szCs w:val="18"/>
                <w:lang w:val="en-GB"/>
              </w:rPr>
              <w:t>End of 18-19</w:t>
            </w:r>
          </w:p>
        </w:tc>
      </w:tr>
      <w:tr>
        <w:trPr>
          <w:trHeight w:val="190"/>
        </w:trPr>
        <w:tc>
          <w:tcPr>
            <w:tcW w:w="2329" w:type="dxa"/>
            <w:tcBorders>
              <w:top w:val="single" w:sz="6" w:space="0" w:color="9E9E9E"/>
              <w:left w:val="single" w:sz="6" w:space="0" w:color="9E9E9E"/>
              <w:bottom w:val="single" w:sz="6" w:space="0" w:color="9E9E9E"/>
              <w:right w:val="single" w:sz="6" w:space="0" w:color="9E9E9E"/>
            </w:tcBorders>
            <w:shd w:val="clear" w:color="auto" w:fill="B7DEE8"/>
            <w:tcMar>
              <w:top w:w="144" w:type="dxa"/>
              <w:left w:w="144" w:type="dxa"/>
              <w:bottom w:w="144" w:type="dxa"/>
              <w:right w:w="144" w:type="dxa"/>
            </w:tcMar>
            <w:hideMark/>
          </w:tcPr>
          <w:p>
            <w:pPr>
              <w:pStyle w:val="BodyText"/>
              <w:ind w:left="784"/>
              <w:rPr>
                <w:sz w:val="18"/>
                <w:szCs w:val="18"/>
                <w:lang w:val="en-GB"/>
              </w:rPr>
            </w:pPr>
            <w:r>
              <w:rPr>
                <w:b/>
                <w:bCs/>
                <w:sz w:val="18"/>
                <w:szCs w:val="18"/>
                <w:lang w:val="en-GB"/>
              </w:rPr>
              <w:t>Yr10 (2020)</w:t>
            </w:r>
          </w:p>
        </w:tc>
        <w:tc>
          <w:tcPr>
            <w:tcW w:w="2140" w:type="dxa"/>
            <w:tcBorders>
              <w:top w:val="single" w:sz="6" w:space="0" w:color="9E9E9E"/>
              <w:left w:val="single" w:sz="6" w:space="0" w:color="9E9E9E"/>
              <w:bottom w:val="single" w:sz="6" w:space="0" w:color="9E9E9E"/>
              <w:right w:val="single" w:sz="6" w:space="0" w:color="9E9E9E"/>
            </w:tcBorders>
            <w:shd w:val="clear" w:color="auto" w:fill="B7DEE8"/>
            <w:tcMar>
              <w:top w:w="144" w:type="dxa"/>
              <w:left w:w="144" w:type="dxa"/>
              <w:bottom w:w="144" w:type="dxa"/>
              <w:right w:w="144" w:type="dxa"/>
            </w:tcMar>
            <w:hideMark/>
          </w:tcPr>
          <w:p>
            <w:pPr>
              <w:pStyle w:val="BodyText"/>
              <w:ind w:left="784"/>
              <w:rPr>
                <w:sz w:val="18"/>
                <w:szCs w:val="18"/>
                <w:lang w:val="en-GB"/>
              </w:rPr>
            </w:pPr>
            <w:r>
              <w:rPr>
                <w:b/>
                <w:bCs/>
                <w:sz w:val="18"/>
                <w:szCs w:val="18"/>
                <w:lang w:val="en-GB"/>
              </w:rPr>
              <w:t>-0.18</w:t>
            </w:r>
          </w:p>
        </w:tc>
      </w:tr>
      <w:tr>
        <w:trPr>
          <w:trHeight w:val="190"/>
        </w:trPr>
        <w:tc>
          <w:tcPr>
            <w:tcW w:w="2329" w:type="dxa"/>
            <w:tcBorders>
              <w:top w:val="single" w:sz="6" w:space="0" w:color="9E9E9E"/>
              <w:left w:val="single" w:sz="6" w:space="0" w:color="9E9E9E"/>
              <w:bottom w:val="single" w:sz="6" w:space="0" w:color="9E9E9E"/>
              <w:right w:val="single" w:sz="6" w:space="0" w:color="9E9E9E"/>
            </w:tcBorders>
            <w:shd w:val="clear" w:color="auto" w:fill="E6B9B8"/>
            <w:tcMar>
              <w:top w:w="144" w:type="dxa"/>
              <w:left w:w="144" w:type="dxa"/>
              <w:bottom w:w="144" w:type="dxa"/>
              <w:right w:w="144" w:type="dxa"/>
            </w:tcMar>
            <w:hideMark/>
          </w:tcPr>
          <w:p>
            <w:pPr>
              <w:pStyle w:val="BodyText"/>
              <w:ind w:left="784"/>
              <w:rPr>
                <w:sz w:val="18"/>
                <w:szCs w:val="18"/>
                <w:lang w:val="en-GB"/>
              </w:rPr>
            </w:pPr>
            <w:r>
              <w:rPr>
                <w:b/>
                <w:bCs/>
                <w:sz w:val="18"/>
                <w:szCs w:val="18"/>
                <w:lang w:val="en-GB"/>
              </w:rPr>
              <w:t>Yr9 (2021)</w:t>
            </w:r>
          </w:p>
        </w:tc>
        <w:tc>
          <w:tcPr>
            <w:tcW w:w="2140" w:type="dxa"/>
            <w:tcBorders>
              <w:top w:val="single" w:sz="6" w:space="0" w:color="9E9E9E"/>
              <w:left w:val="single" w:sz="6" w:space="0" w:color="9E9E9E"/>
              <w:bottom w:val="single" w:sz="6" w:space="0" w:color="9E9E9E"/>
              <w:right w:val="single" w:sz="6" w:space="0" w:color="9E9E9E"/>
            </w:tcBorders>
            <w:shd w:val="clear" w:color="auto" w:fill="E6B9B8"/>
            <w:tcMar>
              <w:top w:w="144" w:type="dxa"/>
              <w:left w:w="144" w:type="dxa"/>
              <w:bottom w:w="144" w:type="dxa"/>
              <w:right w:w="144" w:type="dxa"/>
            </w:tcMar>
            <w:hideMark/>
          </w:tcPr>
          <w:p>
            <w:pPr>
              <w:pStyle w:val="BodyText"/>
              <w:ind w:left="784"/>
              <w:rPr>
                <w:sz w:val="18"/>
                <w:szCs w:val="18"/>
                <w:lang w:val="en-GB"/>
              </w:rPr>
            </w:pPr>
            <w:r>
              <w:rPr>
                <w:b/>
                <w:bCs/>
                <w:sz w:val="18"/>
                <w:szCs w:val="18"/>
                <w:lang w:val="en-GB"/>
              </w:rPr>
              <w:t>+0.19</w:t>
            </w:r>
          </w:p>
        </w:tc>
      </w:tr>
      <w:tr>
        <w:trPr>
          <w:trHeight w:val="190"/>
        </w:trPr>
        <w:tc>
          <w:tcPr>
            <w:tcW w:w="2329" w:type="dxa"/>
            <w:tcBorders>
              <w:top w:val="single" w:sz="6" w:space="0" w:color="9E9E9E"/>
              <w:left w:val="single" w:sz="6" w:space="0" w:color="9E9E9E"/>
              <w:bottom w:val="single" w:sz="6" w:space="0" w:color="9E9E9E"/>
              <w:right w:val="single" w:sz="6" w:space="0" w:color="9E9E9E"/>
            </w:tcBorders>
            <w:shd w:val="clear" w:color="auto" w:fill="D7E4BD"/>
            <w:tcMar>
              <w:top w:w="144" w:type="dxa"/>
              <w:left w:w="144" w:type="dxa"/>
              <w:bottom w:w="144" w:type="dxa"/>
              <w:right w:w="144" w:type="dxa"/>
            </w:tcMar>
            <w:hideMark/>
          </w:tcPr>
          <w:p>
            <w:pPr>
              <w:pStyle w:val="BodyText"/>
              <w:ind w:left="784"/>
              <w:rPr>
                <w:sz w:val="18"/>
                <w:szCs w:val="18"/>
                <w:lang w:val="en-GB"/>
              </w:rPr>
            </w:pPr>
            <w:r>
              <w:rPr>
                <w:b/>
                <w:bCs/>
                <w:sz w:val="18"/>
                <w:szCs w:val="18"/>
                <w:lang w:val="en-GB"/>
              </w:rPr>
              <w:t>Yr8 (2022)</w:t>
            </w:r>
          </w:p>
        </w:tc>
        <w:tc>
          <w:tcPr>
            <w:tcW w:w="2140" w:type="dxa"/>
            <w:tcBorders>
              <w:top w:val="single" w:sz="6" w:space="0" w:color="9E9E9E"/>
              <w:left w:val="single" w:sz="6" w:space="0" w:color="9E9E9E"/>
              <w:bottom w:val="single" w:sz="6" w:space="0" w:color="9E9E9E"/>
              <w:right w:val="single" w:sz="6" w:space="0" w:color="9E9E9E"/>
            </w:tcBorders>
            <w:shd w:val="clear" w:color="auto" w:fill="D7E4BD"/>
            <w:tcMar>
              <w:top w:w="144" w:type="dxa"/>
              <w:left w:w="144" w:type="dxa"/>
              <w:bottom w:w="144" w:type="dxa"/>
              <w:right w:w="144" w:type="dxa"/>
            </w:tcMar>
            <w:hideMark/>
          </w:tcPr>
          <w:p>
            <w:pPr>
              <w:pStyle w:val="BodyText"/>
              <w:ind w:left="784"/>
              <w:rPr>
                <w:sz w:val="18"/>
                <w:szCs w:val="18"/>
                <w:lang w:val="en-GB"/>
              </w:rPr>
            </w:pPr>
            <w:r>
              <w:rPr>
                <w:b/>
                <w:bCs/>
                <w:sz w:val="18"/>
                <w:szCs w:val="18"/>
                <w:lang w:val="en-GB"/>
              </w:rPr>
              <w:t>-0.08</w:t>
            </w:r>
          </w:p>
        </w:tc>
      </w:tr>
      <w:tr>
        <w:trPr>
          <w:trHeight w:val="190"/>
        </w:trPr>
        <w:tc>
          <w:tcPr>
            <w:tcW w:w="2329" w:type="dxa"/>
            <w:tcBorders>
              <w:top w:val="single" w:sz="6" w:space="0" w:color="9E9E9E"/>
              <w:left w:val="single" w:sz="6" w:space="0" w:color="9E9E9E"/>
              <w:bottom w:val="single" w:sz="6" w:space="0" w:color="9E9E9E"/>
              <w:right w:val="single" w:sz="6" w:space="0" w:color="9E9E9E"/>
            </w:tcBorders>
            <w:shd w:val="clear" w:color="auto" w:fill="CCC0D9" w:themeFill="accent4" w:themeFillTint="66"/>
            <w:tcMar>
              <w:top w:w="144" w:type="dxa"/>
              <w:left w:w="144" w:type="dxa"/>
              <w:bottom w:w="144" w:type="dxa"/>
              <w:right w:w="144" w:type="dxa"/>
            </w:tcMar>
          </w:tcPr>
          <w:p>
            <w:pPr>
              <w:pStyle w:val="BodyText"/>
              <w:ind w:left="784"/>
              <w:rPr>
                <w:b/>
                <w:bCs/>
                <w:sz w:val="18"/>
                <w:szCs w:val="18"/>
                <w:lang w:val="en-GB"/>
              </w:rPr>
            </w:pPr>
            <w:r>
              <w:rPr>
                <w:b/>
                <w:bCs/>
                <w:sz w:val="18"/>
                <w:szCs w:val="18"/>
                <w:lang w:val="en-GB"/>
              </w:rPr>
              <w:t>Yr7 (2023)</w:t>
            </w:r>
          </w:p>
        </w:tc>
        <w:tc>
          <w:tcPr>
            <w:tcW w:w="2140" w:type="dxa"/>
            <w:tcBorders>
              <w:top w:val="single" w:sz="6" w:space="0" w:color="9E9E9E"/>
              <w:left w:val="single" w:sz="6" w:space="0" w:color="9E9E9E"/>
              <w:bottom w:val="single" w:sz="6" w:space="0" w:color="9E9E9E"/>
              <w:right w:val="single" w:sz="6" w:space="0" w:color="9E9E9E"/>
            </w:tcBorders>
            <w:shd w:val="clear" w:color="auto" w:fill="CCC0D9" w:themeFill="accent4" w:themeFillTint="66"/>
            <w:tcMar>
              <w:top w:w="144" w:type="dxa"/>
              <w:left w:w="144" w:type="dxa"/>
              <w:bottom w:w="144" w:type="dxa"/>
              <w:right w:w="144" w:type="dxa"/>
            </w:tcMar>
          </w:tcPr>
          <w:p>
            <w:pPr>
              <w:pStyle w:val="BodyText"/>
              <w:ind w:left="784"/>
              <w:rPr>
                <w:b/>
                <w:bCs/>
                <w:sz w:val="18"/>
                <w:szCs w:val="18"/>
                <w:lang w:val="en-GB"/>
              </w:rPr>
            </w:pPr>
            <w:r>
              <w:rPr>
                <w:b/>
                <w:bCs/>
                <w:sz w:val="18"/>
                <w:szCs w:val="18"/>
                <w:lang w:val="en-GB"/>
              </w:rPr>
              <w:t>0.0</w:t>
            </w:r>
          </w:p>
        </w:tc>
      </w:tr>
    </w:tbl>
    <w:p>
      <w:pPr>
        <w:pStyle w:val="BodyText"/>
        <w:ind w:left="784"/>
      </w:pPr>
    </w:p>
    <w:p>
      <w:pPr>
        <w:pStyle w:val="BodyText"/>
        <w:numPr>
          <w:ilvl w:val="0"/>
          <w:numId w:val="19"/>
        </w:numPr>
        <w:ind w:right="9134"/>
      </w:pPr>
      <w:r>
        <w:t>GCSE classes from 2020 onwards shows a significant reduction in the gap between PP and non PP students.</w:t>
      </w:r>
    </w:p>
    <w:p>
      <w:pPr>
        <w:pStyle w:val="BodyText"/>
        <w:numPr>
          <w:ilvl w:val="0"/>
          <w:numId w:val="19"/>
        </w:numPr>
        <w:ind w:right="9134"/>
      </w:pPr>
      <w:r>
        <w:t>More work needs to be done to narrow the gap for the class of 2020.</w:t>
      </w: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ind w:left="784"/>
      </w:pPr>
    </w:p>
    <w:p>
      <w:pPr>
        <w:pStyle w:val="BodyText"/>
      </w:pPr>
    </w:p>
    <w:p>
      <w:pPr>
        <w:pStyle w:val="BodyText"/>
        <w:ind w:left="784"/>
      </w:pPr>
    </w:p>
    <w:p>
      <w:pPr>
        <w:pStyle w:val="BodyText"/>
        <w:ind w:left="784"/>
      </w:pPr>
    </w:p>
    <w:p>
      <w:pPr>
        <w:pStyle w:val="BodyText"/>
        <w:ind w:left="784"/>
      </w:pPr>
      <w:r>
        <w:t>Attendance:</w:t>
      </w:r>
    </w:p>
    <w:p>
      <w:pPr>
        <w:pStyle w:val="BodyText"/>
        <w:ind w:left="784"/>
      </w:pPr>
      <w:r>
        <w:rPr>
          <w:noProof/>
          <w:lang w:val="en-GB" w:eastAsia="en-GB"/>
        </w:rPr>
        <w:drawing>
          <wp:anchor distT="0" distB="0" distL="114300" distR="114300" simplePos="0" relativeHeight="503186064" behindDoc="1" locked="0" layoutInCell="1" allowOverlap="1">
            <wp:simplePos x="0" y="0"/>
            <wp:positionH relativeFrom="column">
              <wp:posOffset>3625621</wp:posOffset>
            </wp:positionH>
            <wp:positionV relativeFrom="paragraph">
              <wp:posOffset>144399</wp:posOffset>
            </wp:positionV>
            <wp:extent cx="4184295" cy="2574951"/>
            <wp:effectExtent l="0" t="0" r="6985" b="15875"/>
            <wp:wrapTight wrapText="bothSides">
              <wp:wrapPolygon edited="0">
                <wp:start x="0" y="0"/>
                <wp:lineTo x="0" y="21573"/>
                <wp:lineTo x="21538" y="21573"/>
                <wp:lineTo x="2153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4165" w:type="dxa"/>
        <w:tblInd w:w="1070" w:type="dxa"/>
        <w:tblCellMar>
          <w:left w:w="0" w:type="dxa"/>
          <w:right w:w="0" w:type="dxa"/>
        </w:tblCellMar>
        <w:tblLook w:val="0420" w:firstRow="1" w:lastRow="0" w:firstColumn="0" w:lastColumn="0" w:noHBand="0" w:noVBand="1"/>
      </w:tblPr>
      <w:tblGrid>
        <w:gridCol w:w="1860"/>
        <w:gridCol w:w="2305"/>
      </w:tblGrid>
      <w:tr>
        <w:trPr>
          <w:trHeight w:val="245"/>
        </w:trPr>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
              <w:rPr>
                <w:b/>
                <w:bCs/>
              </w:rPr>
              <w:t>End of Year</w:t>
            </w:r>
          </w:p>
        </w:tc>
        <w:tc>
          <w:tcPr>
            <w:tcW w:w="23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
              <w:rPr>
                <w:b/>
                <w:bCs/>
              </w:rPr>
              <w:t>PP attendance (%)</w:t>
            </w:r>
          </w:p>
        </w:tc>
      </w:tr>
      <w:tr>
        <w:trPr>
          <w:trHeight w:val="383"/>
        </w:trPr>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
              <w:rPr>
                <w:b/>
                <w:bCs/>
              </w:rPr>
              <w:t>2018-19</w:t>
            </w:r>
          </w:p>
        </w:tc>
        <w:tc>
          <w:tcPr>
            <w:tcW w:w="23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
              <w:rPr>
                <w:b/>
                <w:bCs/>
              </w:rPr>
              <w:t>89.3</w:t>
            </w:r>
          </w:p>
        </w:tc>
      </w:tr>
      <w:tr>
        <w:trPr>
          <w:trHeight w:val="245"/>
        </w:trPr>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
              <w:rPr>
                <w:b/>
                <w:bCs/>
              </w:rPr>
              <w:t>2017-18</w:t>
            </w:r>
          </w:p>
        </w:tc>
        <w:tc>
          <w:tcPr>
            <w:tcW w:w="23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
              <w:rPr>
                <w:b/>
                <w:bCs/>
              </w:rPr>
              <w:t>90.3</w:t>
            </w:r>
          </w:p>
        </w:tc>
      </w:tr>
    </w:tbl>
    <w:p>
      <w:pPr>
        <w:pStyle w:val="BodyText"/>
        <w:sectPr>
          <w:footerReference w:type="default" r:id="rId10"/>
          <w:pgSz w:w="16850" w:h="11930" w:orient="landscape"/>
          <w:pgMar w:top="0" w:right="880" w:bottom="280" w:left="740" w:header="0" w:footer="0" w:gutter="0"/>
          <w:cols w:space="720"/>
        </w:sectPr>
      </w:pPr>
    </w:p>
    <w:p>
      <w:pPr>
        <w:spacing w:before="74"/>
        <w:rPr>
          <w:sz w:val="26"/>
        </w:rPr>
      </w:pPr>
      <w:bookmarkStart w:id="1" w:name="_bookmark13"/>
      <w:bookmarkEnd w:id="1"/>
    </w:p>
    <w:sectPr>
      <w:footerReference w:type="default" r:id="rId11"/>
      <w:pgSz w:w="11930" w:h="16850"/>
      <w:pgMar w:top="960" w:right="104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0"/>
      </w:rPr>
    </w:pPr>
    <w:r>
      <w:rPr>
        <w:noProof/>
        <w:lang w:val="en-GB" w:eastAsia="en-GB"/>
      </w:rPr>
      <mc:AlternateContent>
        <mc:Choice Requires="wps">
          <w:drawing>
            <wp:anchor distT="0" distB="0" distL="114300" distR="114300" simplePos="0" relativeHeight="503184344" behindDoc="1" locked="0" layoutInCell="1" allowOverlap="1">
              <wp:simplePos x="0" y="0"/>
              <wp:positionH relativeFrom="page">
                <wp:posOffset>5211445</wp:posOffset>
              </wp:positionH>
              <wp:positionV relativeFrom="page">
                <wp:posOffset>6936105</wp:posOffset>
              </wp:positionV>
              <wp:extent cx="221615" cy="196215"/>
              <wp:effectExtent l="127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12"/>
                            <w:ind w:left="40"/>
                          </w:pPr>
                          <w:r>
                            <w:fldChar w:fldCharType="begin"/>
                          </w:r>
                          <w:r>
                            <w:rPr>
                              <w:color w:val="0D0D0D"/>
                            </w:rPr>
                            <w:instrText xml:space="preserve"> PAGE </w:instrText>
                          </w:r>
                          <w:r>
                            <w:fldChar w:fldCharType="separate"/>
                          </w:r>
                          <w:r>
                            <w:rPr>
                              <w:noProof/>
                              <w:color w:val="0D0D0D"/>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35pt;margin-top:546.15pt;width:17.45pt;height:15.45pt;z-index:-13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" filled="f" stroked="f">
              <v:textbox inset="0,0,0,0">
                <w:txbxContent>
                  <w:p>
                    <w:pPr>
                      <w:pStyle w:val="BodyText"/>
                      <w:spacing w:before="12"/>
                      <w:ind w:left="40"/>
                    </w:pPr>
                    <w:r>
                      <w:fldChar w:fldCharType="begin"/>
                    </w:r>
                    <w:r>
                      <w:rPr>
                        <w:color w:val="0D0D0D"/>
                      </w:rPr>
                      <w:instrText xml:space="preserve"> PAGE </w:instrText>
                    </w:r>
                    <w:r>
                      <w:fldChar w:fldCharType="separate"/>
                    </w:r>
                    <w:r>
                      <w:rPr>
                        <w:noProof/>
                        <w:color w:val="0D0D0D"/>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059"/>
    <w:multiLevelType w:val="hybridMultilevel"/>
    <w:tmpl w:val="1CECC956"/>
    <w:lvl w:ilvl="0" w:tplc="A38A8906">
      <w:numFmt w:val="bullet"/>
      <w:lvlText w:val=""/>
      <w:lvlJc w:val="left"/>
      <w:pPr>
        <w:ind w:left="1044" w:hanging="584"/>
      </w:pPr>
      <w:rPr>
        <w:rFonts w:ascii="Symbol" w:eastAsia="Symbol" w:hAnsi="Symbol" w:cs="Symbol" w:hint="default"/>
        <w:color w:val="0D0D0D"/>
        <w:w w:val="100"/>
        <w:sz w:val="24"/>
        <w:szCs w:val="24"/>
      </w:rPr>
    </w:lvl>
    <w:lvl w:ilvl="1" w:tplc="4C98F26C">
      <w:numFmt w:val="bullet"/>
      <w:lvlText w:val="o"/>
      <w:lvlJc w:val="left"/>
      <w:pPr>
        <w:ind w:left="1236" w:hanging="360"/>
      </w:pPr>
      <w:rPr>
        <w:rFonts w:ascii="Courier New" w:eastAsia="Courier New" w:hAnsi="Courier New" w:cs="Courier New" w:hint="default"/>
        <w:color w:val="0D0D0D"/>
        <w:w w:val="100"/>
        <w:sz w:val="24"/>
        <w:szCs w:val="24"/>
      </w:rPr>
    </w:lvl>
    <w:lvl w:ilvl="2" w:tplc="DC3C9A00">
      <w:numFmt w:val="bullet"/>
      <w:lvlText w:val="•"/>
      <w:lvlJc w:val="left"/>
      <w:pPr>
        <w:ind w:left="2751" w:hanging="360"/>
      </w:pPr>
      <w:rPr>
        <w:rFonts w:hint="default"/>
      </w:rPr>
    </w:lvl>
    <w:lvl w:ilvl="3" w:tplc="64C6560E">
      <w:numFmt w:val="bullet"/>
      <w:lvlText w:val="•"/>
      <w:lvlJc w:val="left"/>
      <w:pPr>
        <w:ind w:left="4262" w:hanging="360"/>
      </w:pPr>
      <w:rPr>
        <w:rFonts w:hint="default"/>
      </w:rPr>
    </w:lvl>
    <w:lvl w:ilvl="4" w:tplc="DEB6AC3C">
      <w:numFmt w:val="bullet"/>
      <w:lvlText w:val="•"/>
      <w:lvlJc w:val="left"/>
      <w:pPr>
        <w:ind w:left="5773" w:hanging="360"/>
      </w:pPr>
      <w:rPr>
        <w:rFonts w:hint="default"/>
      </w:rPr>
    </w:lvl>
    <w:lvl w:ilvl="5" w:tplc="E932CD88">
      <w:numFmt w:val="bullet"/>
      <w:lvlText w:val="•"/>
      <w:lvlJc w:val="left"/>
      <w:pPr>
        <w:ind w:left="7284" w:hanging="360"/>
      </w:pPr>
      <w:rPr>
        <w:rFonts w:hint="default"/>
      </w:rPr>
    </w:lvl>
    <w:lvl w:ilvl="6" w:tplc="7410E532">
      <w:numFmt w:val="bullet"/>
      <w:lvlText w:val="•"/>
      <w:lvlJc w:val="left"/>
      <w:pPr>
        <w:ind w:left="8796" w:hanging="360"/>
      </w:pPr>
      <w:rPr>
        <w:rFonts w:hint="default"/>
      </w:rPr>
    </w:lvl>
    <w:lvl w:ilvl="7" w:tplc="2B862012">
      <w:numFmt w:val="bullet"/>
      <w:lvlText w:val="•"/>
      <w:lvlJc w:val="left"/>
      <w:pPr>
        <w:ind w:left="10307" w:hanging="360"/>
      </w:pPr>
      <w:rPr>
        <w:rFonts w:hint="default"/>
      </w:rPr>
    </w:lvl>
    <w:lvl w:ilvl="8" w:tplc="C366AA82">
      <w:numFmt w:val="bullet"/>
      <w:lvlText w:val="•"/>
      <w:lvlJc w:val="left"/>
      <w:pPr>
        <w:ind w:left="11818" w:hanging="360"/>
      </w:pPr>
      <w:rPr>
        <w:rFonts w:hint="default"/>
      </w:rPr>
    </w:lvl>
  </w:abstractNum>
  <w:abstractNum w:abstractNumId="1">
    <w:nsid w:val="10F424F7"/>
    <w:multiLevelType w:val="hybridMultilevel"/>
    <w:tmpl w:val="BDB4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E5638"/>
    <w:multiLevelType w:val="hybridMultilevel"/>
    <w:tmpl w:val="B73616DA"/>
    <w:lvl w:ilvl="0" w:tplc="2C949EC8">
      <w:start w:val="4"/>
      <w:numFmt w:val="lowerRoman"/>
      <w:lvlText w:val="%1."/>
      <w:lvlJc w:val="left"/>
      <w:pPr>
        <w:ind w:left="664" w:hanging="411"/>
        <w:jc w:val="right"/>
      </w:pPr>
      <w:rPr>
        <w:rFonts w:ascii="Arial" w:eastAsia="Arial" w:hAnsi="Arial" w:cs="Arial" w:hint="default"/>
        <w:b/>
        <w:bCs/>
        <w:color w:val="0D0D0D"/>
        <w:spacing w:val="-4"/>
        <w:w w:val="100"/>
        <w:sz w:val="24"/>
        <w:szCs w:val="24"/>
      </w:rPr>
    </w:lvl>
    <w:lvl w:ilvl="1" w:tplc="004EF044">
      <w:numFmt w:val="bullet"/>
      <w:lvlText w:val=""/>
      <w:lvlJc w:val="left"/>
      <w:pPr>
        <w:ind w:left="814" w:hanging="356"/>
      </w:pPr>
      <w:rPr>
        <w:rFonts w:ascii="Symbol" w:eastAsia="Symbol" w:hAnsi="Symbol" w:cs="Symbol" w:hint="default"/>
        <w:color w:val="0D0D0D"/>
        <w:w w:val="100"/>
        <w:sz w:val="24"/>
        <w:szCs w:val="24"/>
      </w:rPr>
    </w:lvl>
    <w:lvl w:ilvl="2" w:tplc="23FA77DE">
      <w:numFmt w:val="bullet"/>
      <w:lvlText w:val=""/>
      <w:lvlJc w:val="left"/>
      <w:pPr>
        <w:ind w:left="837" w:hanging="176"/>
      </w:pPr>
      <w:rPr>
        <w:rFonts w:ascii="Symbol" w:eastAsia="Symbol" w:hAnsi="Symbol" w:cs="Symbol" w:hint="default"/>
        <w:w w:val="100"/>
        <w:sz w:val="22"/>
        <w:szCs w:val="22"/>
      </w:rPr>
    </w:lvl>
    <w:lvl w:ilvl="3" w:tplc="EE1A21B4">
      <w:numFmt w:val="bullet"/>
      <w:lvlText w:val="•"/>
      <w:lvlJc w:val="left"/>
      <w:pPr>
        <w:ind w:left="1135" w:hanging="176"/>
      </w:pPr>
      <w:rPr>
        <w:rFonts w:hint="default"/>
      </w:rPr>
    </w:lvl>
    <w:lvl w:ilvl="4" w:tplc="4A784380">
      <w:numFmt w:val="bullet"/>
      <w:lvlText w:val="•"/>
      <w:lvlJc w:val="left"/>
      <w:pPr>
        <w:ind w:left="1431" w:hanging="176"/>
      </w:pPr>
      <w:rPr>
        <w:rFonts w:hint="default"/>
      </w:rPr>
    </w:lvl>
    <w:lvl w:ilvl="5" w:tplc="13527256">
      <w:numFmt w:val="bullet"/>
      <w:lvlText w:val="•"/>
      <w:lvlJc w:val="left"/>
      <w:pPr>
        <w:ind w:left="1726" w:hanging="176"/>
      </w:pPr>
      <w:rPr>
        <w:rFonts w:hint="default"/>
      </w:rPr>
    </w:lvl>
    <w:lvl w:ilvl="6" w:tplc="C6D8D9BA">
      <w:numFmt w:val="bullet"/>
      <w:lvlText w:val="•"/>
      <w:lvlJc w:val="left"/>
      <w:pPr>
        <w:ind w:left="2022" w:hanging="176"/>
      </w:pPr>
      <w:rPr>
        <w:rFonts w:hint="default"/>
      </w:rPr>
    </w:lvl>
    <w:lvl w:ilvl="7" w:tplc="74F66B1C">
      <w:numFmt w:val="bullet"/>
      <w:lvlText w:val="•"/>
      <w:lvlJc w:val="left"/>
      <w:pPr>
        <w:ind w:left="2318" w:hanging="176"/>
      </w:pPr>
      <w:rPr>
        <w:rFonts w:hint="default"/>
      </w:rPr>
    </w:lvl>
    <w:lvl w:ilvl="8" w:tplc="9C4C888A">
      <w:numFmt w:val="bullet"/>
      <w:lvlText w:val="•"/>
      <w:lvlJc w:val="left"/>
      <w:pPr>
        <w:ind w:left="2613" w:hanging="176"/>
      </w:pPr>
      <w:rPr>
        <w:rFonts w:hint="default"/>
      </w:rPr>
    </w:lvl>
  </w:abstractNum>
  <w:abstractNum w:abstractNumId="3">
    <w:nsid w:val="2DFC4EC0"/>
    <w:multiLevelType w:val="hybridMultilevel"/>
    <w:tmpl w:val="D43487D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nsid w:val="4205790E"/>
    <w:multiLevelType w:val="hybridMultilevel"/>
    <w:tmpl w:val="CB1A62A6"/>
    <w:lvl w:ilvl="0" w:tplc="D19614A8">
      <w:start w:val="1"/>
      <w:numFmt w:val="decimal"/>
      <w:lvlText w:val="%1."/>
      <w:lvlJc w:val="left"/>
      <w:pPr>
        <w:ind w:left="102" w:hanging="269"/>
        <w:jc w:val="left"/>
      </w:pPr>
      <w:rPr>
        <w:rFonts w:ascii="Arial" w:eastAsia="Arial" w:hAnsi="Arial" w:cs="Arial" w:hint="default"/>
        <w:b/>
        <w:bCs/>
        <w:w w:val="104"/>
        <w:sz w:val="23"/>
        <w:szCs w:val="23"/>
      </w:rPr>
    </w:lvl>
    <w:lvl w:ilvl="1" w:tplc="CE0C50D0">
      <w:numFmt w:val="bullet"/>
      <w:lvlText w:val="•"/>
      <w:lvlJc w:val="left"/>
      <w:pPr>
        <w:ind w:left="240" w:hanging="269"/>
      </w:pPr>
      <w:rPr>
        <w:rFonts w:hint="default"/>
      </w:rPr>
    </w:lvl>
    <w:lvl w:ilvl="2" w:tplc="8C587FCE">
      <w:numFmt w:val="bullet"/>
      <w:lvlText w:val="•"/>
      <w:lvlJc w:val="left"/>
      <w:pPr>
        <w:ind w:left="569" w:hanging="269"/>
      </w:pPr>
      <w:rPr>
        <w:rFonts w:hint="default"/>
      </w:rPr>
    </w:lvl>
    <w:lvl w:ilvl="3" w:tplc="9D96072C">
      <w:numFmt w:val="bullet"/>
      <w:lvlText w:val="•"/>
      <w:lvlJc w:val="left"/>
      <w:pPr>
        <w:ind w:left="898" w:hanging="269"/>
      </w:pPr>
      <w:rPr>
        <w:rFonts w:hint="default"/>
      </w:rPr>
    </w:lvl>
    <w:lvl w:ilvl="4" w:tplc="5E460888">
      <w:numFmt w:val="bullet"/>
      <w:lvlText w:val="•"/>
      <w:lvlJc w:val="left"/>
      <w:pPr>
        <w:ind w:left="1228" w:hanging="269"/>
      </w:pPr>
      <w:rPr>
        <w:rFonts w:hint="default"/>
      </w:rPr>
    </w:lvl>
    <w:lvl w:ilvl="5" w:tplc="9BDCE770">
      <w:numFmt w:val="bullet"/>
      <w:lvlText w:val="•"/>
      <w:lvlJc w:val="left"/>
      <w:pPr>
        <w:ind w:left="1557" w:hanging="269"/>
      </w:pPr>
      <w:rPr>
        <w:rFonts w:hint="default"/>
      </w:rPr>
    </w:lvl>
    <w:lvl w:ilvl="6" w:tplc="466279E2">
      <w:numFmt w:val="bullet"/>
      <w:lvlText w:val="•"/>
      <w:lvlJc w:val="left"/>
      <w:pPr>
        <w:ind w:left="1887" w:hanging="269"/>
      </w:pPr>
      <w:rPr>
        <w:rFonts w:hint="default"/>
      </w:rPr>
    </w:lvl>
    <w:lvl w:ilvl="7" w:tplc="39B8D0F8">
      <w:numFmt w:val="bullet"/>
      <w:lvlText w:val="•"/>
      <w:lvlJc w:val="left"/>
      <w:pPr>
        <w:ind w:left="2216" w:hanging="269"/>
      </w:pPr>
      <w:rPr>
        <w:rFonts w:hint="default"/>
      </w:rPr>
    </w:lvl>
    <w:lvl w:ilvl="8" w:tplc="5E9ACE2A">
      <w:numFmt w:val="bullet"/>
      <w:lvlText w:val="•"/>
      <w:lvlJc w:val="left"/>
      <w:pPr>
        <w:ind w:left="2545" w:hanging="269"/>
      </w:pPr>
      <w:rPr>
        <w:rFonts w:hint="default"/>
      </w:rPr>
    </w:lvl>
  </w:abstractNum>
  <w:abstractNum w:abstractNumId="5">
    <w:nsid w:val="45855086"/>
    <w:multiLevelType w:val="hybridMultilevel"/>
    <w:tmpl w:val="ED02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6110C5"/>
    <w:multiLevelType w:val="hybridMultilevel"/>
    <w:tmpl w:val="DDFC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A14356"/>
    <w:multiLevelType w:val="hybridMultilevel"/>
    <w:tmpl w:val="F57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06279"/>
    <w:multiLevelType w:val="hybridMultilevel"/>
    <w:tmpl w:val="0A164716"/>
    <w:lvl w:ilvl="0" w:tplc="A12810AA">
      <w:numFmt w:val="bullet"/>
      <w:lvlText w:val="-"/>
      <w:lvlJc w:val="left"/>
      <w:pPr>
        <w:ind w:left="194" w:hanging="147"/>
      </w:pPr>
      <w:rPr>
        <w:rFonts w:ascii="Arial" w:eastAsia="Arial" w:hAnsi="Arial" w:cs="Arial" w:hint="default"/>
        <w:i/>
        <w:color w:val="040404"/>
        <w:w w:val="99"/>
        <w:sz w:val="24"/>
        <w:szCs w:val="24"/>
      </w:rPr>
    </w:lvl>
    <w:lvl w:ilvl="1" w:tplc="B0FC5CC6">
      <w:numFmt w:val="bullet"/>
      <w:lvlText w:val="•"/>
      <w:lvlJc w:val="left"/>
      <w:pPr>
        <w:ind w:left="462" w:hanging="147"/>
      </w:pPr>
      <w:rPr>
        <w:rFonts w:hint="default"/>
      </w:rPr>
    </w:lvl>
    <w:lvl w:ilvl="2" w:tplc="7B40CF18">
      <w:numFmt w:val="bullet"/>
      <w:lvlText w:val="•"/>
      <w:lvlJc w:val="left"/>
      <w:pPr>
        <w:ind w:left="725" w:hanging="147"/>
      </w:pPr>
      <w:rPr>
        <w:rFonts w:hint="default"/>
      </w:rPr>
    </w:lvl>
    <w:lvl w:ilvl="3" w:tplc="539051E4">
      <w:numFmt w:val="bullet"/>
      <w:lvlText w:val="•"/>
      <w:lvlJc w:val="left"/>
      <w:pPr>
        <w:ind w:left="987" w:hanging="147"/>
      </w:pPr>
      <w:rPr>
        <w:rFonts w:hint="default"/>
      </w:rPr>
    </w:lvl>
    <w:lvl w:ilvl="4" w:tplc="F2A2EAF8">
      <w:numFmt w:val="bullet"/>
      <w:lvlText w:val="•"/>
      <w:lvlJc w:val="left"/>
      <w:pPr>
        <w:ind w:left="1250" w:hanging="147"/>
      </w:pPr>
      <w:rPr>
        <w:rFonts w:hint="default"/>
      </w:rPr>
    </w:lvl>
    <w:lvl w:ilvl="5" w:tplc="EBAA8D94">
      <w:numFmt w:val="bullet"/>
      <w:lvlText w:val="•"/>
      <w:lvlJc w:val="left"/>
      <w:pPr>
        <w:ind w:left="1512" w:hanging="147"/>
      </w:pPr>
      <w:rPr>
        <w:rFonts w:hint="default"/>
      </w:rPr>
    </w:lvl>
    <w:lvl w:ilvl="6" w:tplc="CEA62D8E">
      <w:numFmt w:val="bullet"/>
      <w:lvlText w:val="•"/>
      <w:lvlJc w:val="left"/>
      <w:pPr>
        <w:ind w:left="1775" w:hanging="147"/>
      </w:pPr>
      <w:rPr>
        <w:rFonts w:hint="default"/>
      </w:rPr>
    </w:lvl>
    <w:lvl w:ilvl="7" w:tplc="051C68BA">
      <w:numFmt w:val="bullet"/>
      <w:lvlText w:val="•"/>
      <w:lvlJc w:val="left"/>
      <w:pPr>
        <w:ind w:left="2037" w:hanging="147"/>
      </w:pPr>
      <w:rPr>
        <w:rFonts w:hint="default"/>
      </w:rPr>
    </w:lvl>
    <w:lvl w:ilvl="8" w:tplc="251CE77A">
      <w:numFmt w:val="bullet"/>
      <w:lvlText w:val="•"/>
      <w:lvlJc w:val="left"/>
      <w:pPr>
        <w:ind w:left="2300" w:hanging="147"/>
      </w:pPr>
      <w:rPr>
        <w:rFonts w:hint="default"/>
      </w:rPr>
    </w:lvl>
  </w:abstractNum>
  <w:abstractNum w:abstractNumId="9">
    <w:nsid w:val="59E978B2"/>
    <w:multiLevelType w:val="hybridMultilevel"/>
    <w:tmpl w:val="0FC6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61A5F"/>
    <w:multiLevelType w:val="hybridMultilevel"/>
    <w:tmpl w:val="A846EFDC"/>
    <w:lvl w:ilvl="0" w:tplc="50E85EB4">
      <w:numFmt w:val="bullet"/>
      <w:lvlText w:val=""/>
      <w:lvlJc w:val="left"/>
      <w:pPr>
        <w:ind w:left="568" w:hanging="315"/>
      </w:pPr>
      <w:rPr>
        <w:rFonts w:ascii="Symbol" w:eastAsia="Symbol" w:hAnsi="Symbol" w:cs="Symbol" w:hint="default"/>
        <w:color w:val="0D0D0D"/>
        <w:w w:val="100"/>
        <w:sz w:val="24"/>
        <w:szCs w:val="24"/>
      </w:rPr>
    </w:lvl>
    <w:lvl w:ilvl="1" w:tplc="A5309DC6">
      <w:numFmt w:val="bullet"/>
      <w:lvlText w:val="•"/>
      <w:lvlJc w:val="left"/>
      <w:pPr>
        <w:ind w:left="761" w:hanging="315"/>
      </w:pPr>
      <w:rPr>
        <w:rFonts w:hint="default"/>
      </w:rPr>
    </w:lvl>
    <w:lvl w:ilvl="2" w:tplc="621AE876">
      <w:numFmt w:val="bullet"/>
      <w:lvlText w:val="•"/>
      <w:lvlJc w:val="left"/>
      <w:pPr>
        <w:ind w:left="963" w:hanging="315"/>
      </w:pPr>
      <w:rPr>
        <w:rFonts w:hint="default"/>
      </w:rPr>
    </w:lvl>
    <w:lvl w:ilvl="3" w:tplc="AF365D1C">
      <w:numFmt w:val="bullet"/>
      <w:lvlText w:val="•"/>
      <w:lvlJc w:val="left"/>
      <w:pPr>
        <w:ind w:left="1165" w:hanging="315"/>
      </w:pPr>
      <w:rPr>
        <w:rFonts w:hint="default"/>
      </w:rPr>
    </w:lvl>
    <w:lvl w:ilvl="4" w:tplc="60F652CC">
      <w:numFmt w:val="bullet"/>
      <w:lvlText w:val="•"/>
      <w:lvlJc w:val="left"/>
      <w:pPr>
        <w:ind w:left="1367" w:hanging="315"/>
      </w:pPr>
      <w:rPr>
        <w:rFonts w:hint="default"/>
      </w:rPr>
    </w:lvl>
    <w:lvl w:ilvl="5" w:tplc="C19C3652">
      <w:numFmt w:val="bullet"/>
      <w:lvlText w:val="•"/>
      <w:lvlJc w:val="left"/>
      <w:pPr>
        <w:ind w:left="1568" w:hanging="315"/>
      </w:pPr>
      <w:rPr>
        <w:rFonts w:hint="default"/>
      </w:rPr>
    </w:lvl>
    <w:lvl w:ilvl="6" w:tplc="3F74C61E">
      <w:numFmt w:val="bullet"/>
      <w:lvlText w:val="•"/>
      <w:lvlJc w:val="left"/>
      <w:pPr>
        <w:ind w:left="1770" w:hanging="315"/>
      </w:pPr>
      <w:rPr>
        <w:rFonts w:hint="default"/>
      </w:rPr>
    </w:lvl>
    <w:lvl w:ilvl="7" w:tplc="FD5446BC">
      <w:numFmt w:val="bullet"/>
      <w:lvlText w:val="•"/>
      <w:lvlJc w:val="left"/>
      <w:pPr>
        <w:ind w:left="1972" w:hanging="315"/>
      </w:pPr>
      <w:rPr>
        <w:rFonts w:hint="default"/>
      </w:rPr>
    </w:lvl>
    <w:lvl w:ilvl="8" w:tplc="317A9D38">
      <w:numFmt w:val="bullet"/>
      <w:lvlText w:val="•"/>
      <w:lvlJc w:val="left"/>
      <w:pPr>
        <w:ind w:left="2174" w:hanging="315"/>
      </w:pPr>
      <w:rPr>
        <w:rFonts w:hint="default"/>
      </w:rPr>
    </w:lvl>
  </w:abstractNum>
  <w:abstractNum w:abstractNumId="11">
    <w:nsid w:val="5F190DBD"/>
    <w:multiLevelType w:val="hybridMultilevel"/>
    <w:tmpl w:val="807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B5BAE"/>
    <w:multiLevelType w:val="hybridMultilevel"/>
    <w:tmpl w:val="F9FA73F6"/>
    <w:lvl w:ilvl="0" w:tplc="3ABA3C74">
      <w:numFmt w:val="bullet"/>
      <w:lvlText w:val=""/>
      <w:lvlJc w:val="left"/>
      <w:pPr>
        <w:ind w:left="822" w:hanging="461"/>
      </w:pPr>
      <w:rPr>
        <w:rFonts w:ascii="Symbol" w:eastAsia="Symbol" w:hAnsi="Symbol" w:cs="Symbol" w:hint="default"/>
        <w:color w:val="0D0D0D"/>
        <w:w w:val="100"/>
        <w:sz w:val="24"/>
        <w:szCs w:val="24"/>
      </w:rPr>
    </w:lvl>
    <w:lvl w:ilvl="1" w:tplc="BD003300">
      <w:numFmt w:val="bullet"/>
      <w:lvlText w:val="•"/>
      <w:lvlJc w:val="left"/>
      <w:pPr>
        <w:ind w:left="1676" w:hanging="461"/>
      </w:pPr>
      <w:rPr>
        <w:rFonts w:hint="default"/>
      </w:rPr>
    </w:lvl>
    <w:lvl w:ilvl="2" w:tplc="DF0ED93A">
      <w:numFmt w:val="bullet"/>
      <w:lvlText w:val="•"/>
      <w:lvlJc w:val="left"/>
      <w:pPr>
        <w:ind w:left="2532" w:hanging="461"/>
      </w:pPr>
      <w:rPr>
        <w:rFonts w:hint="default"/>
      </w:rPr>
    </w:lvl>
    <w:lvl w:ilvl="3" w:tplc="012C4670">
      <w:numFmt w:val="bullet"/>
      <w:lvlText w:val="•"/>
      <w:lvlJc w:val="left"/>
      <w:pPr>
        <w:ind w:left="3388" w:hanging="461"/>
      </w:pPr>
      <w:rPr>
        <w:rFonts w:hint="default"/>
      </w:rPr>
    </w:lvl>
    <w:lvl w:ilvl="4" w:tplc="CD3AD1FE">
      <w:numFmt w:val="bullet"/>
      <w:lvlText w:val="•"/>
      <w:lvlJc w:val="left"/>
      <w:pPr>
        <w:ind w:left="4244" w:hanging="461"/>
      </w:pPr>
      <w:rPr>
        <w:rFonts w:hint="default"/>
      </w:rPr>
    </w:lvl>
    <w:lvl w:ilvl="5" w:tplc="BC64E37E">
      <w:numFmt w:val="bullet"/>
      <w:lvlText w:val="•"/>
      <w:lvlJc w:val="left"/>
      <w:pPr>
        <w:ind w:left="5100" w:hanging="461"/>
      </w:pPr>
      <w:rPr>
        <w:rFonts w:hint="default"/>
      </w:rPr>
    </w:lvl>
    <w:lvl w:ilvl="6" w:tplc="FEC2F7B6">
      <w:numFmt w:val="bullet"/>
      <w:lvlText w:val="•"/>
      <w:lvlJc w:val="left"/>
      <w:pPr>
        <w:ind w:left="5956" w:hanging="461"/>
      </w:pPr>
      <w:rPr>
        <w:rFonts w:hint="default"/>
      </w:rPr>
    </w:lvl>
    <w:lvl w:ilvl="7" w:tplc="B552B85C">
      <w:numFmt w:val="bullet"/>
      <w:lvlText w:val="•"/>
      <w:lvlJc w:val="left"/>
      <w:pPr>
        <w:ind w:left="6812" w:hanging="461"/>
      </w:pPr>
      <w:rPr>
        <w:rFonts w:hint="default"/>
      </w:rPr>
    </w:lvl>
    <w:lvl w:ilvl="8" w:tplc="54F8009E">
      <w:numFmt w:val="bullet"/>
      <w:lvlText w:val="•"/>
      <w:lvlJc w:val="left"/>
      <w:pPr>
        <w:ind w:left="7668" w:hanging="461"/>
      </w:pPr>
      <w:rPr>
        <w:rFonts w:hint="default"/>
      </w:rPr>
    </w:lvl>
  </w:abstractNum>
  <w:abstractNum w:abstractNumId="13">
    <w:nsid w:val="730F4B14"/>
    <w:multiLevelType w:val="hybridMultilevel"/>
    <w:tmpl w:val="13A28F08"/>
    <w:lvl w:ilvl="0" w:tplc="CA28FFDC">
      <w:numFmt w:val="bullet"/>
      <w:lvlText w:val=""/>
      <w:lvlJc w:val="left"/>
      <w:pPr>
        <w:ind w:left="566" w:hanging="315"/>
      </w:pPr>
      <w:rPr>
        <w:rFonts w:hint="default"/>
        <w:w w:val="100"/>
      </w:rPr>
    </w:lvl>
    <w:lvl w:ilvl="1" w:tplc="65ACF774">
      <w:numFmt w:val="bullet"/>
      <w:lvlText w:val="•"/>
      <w:lvlJc w:val="left"/>
      <w:pPr>
        <w:ind w:left="785" w:hanging="315"/>
      </w:pPr>
      <w:rPr>
        <w:rFonts w:hint="default"/>
      </w:rPr>
    </w:lvl>
    <w:lvl w:ilvl="2" w:tplc="D4C63F44">
      <w:numFmt w:val="bullet"/>
      <w:lvlText w:val="•"/>
      <w:lvlJc w:val="left"/>
      <w:pPr>
        <w:ind w:left="1011" w:hanging="315"/>
      </w:pPr>
      <w:rPr>
        <w:rFonts w:hint="default"/>
      </w:rPr>
    </w:lvl>
    <w:lvl w:ilvl="3" w:tplc="94D660B8">
      <w:numFmt w:val="bullet"/>
      <w:lvlText w:val="•"/>
      <w:lvlJc w:val="left"/>
      <w:pPr>
        <w:ind w:left="1236" w:hanging="315"/>
      </w:pPr>
      <w:rPr>
        <w:rFonts w:hint="default"/>
      </w:rPr>
    </w:lvl>
    <w:lvl w:ilvl="4" w:tplc="120222CA">
      <w:numFmt w:val="bullet"/>
      <w:lvlText w:val="•"/>
      <w:lvlJc w:val="left"/>
      <w:pPr>
        <w:ind w:left="1462" w:hanging="315"/>
      </w:pPr>
      <w:rPr>
        <w:rFonts w:hint="default"/>
      </w:rPr>
    </w:lvl>
    <w:lvl w:ilvl="5" w:tplc="1388A094">
      <w:numFmt w:val="bullet"/>
      <w:lvlText w:val="•"/>
      <w:lvlJc w:val="left"/>
      <w:pPr>
        <w:ind w:left="1687" w:hanging="315"/>
      </w:pPr>
      <w:rPr>
        <w:rFonts w:hint="default"/>
      </w:rPr>
    </w:lvl>
    <w:lvl w:ilvl="6" w:tplc="FFE0DE20">
      <w:numFmt w:val="bullet"/>
      <w:lvlText w:val="•"/>
      <w:lvlJc w:val="left"/>
      <w:pPr>
        <w:ind w:left="1913" w:hanging="315"/>
      </w:pPr>
      <w:rPr>
        <w:rFonts w:hint="default"/>
      </w:rPr>
    </w:lvl>
    <w:lvl w:ilvl="7" w:tplc="2746F83E">
      <w:numFmt w:val="bullet"/>
      <w:lvlText w:val="•"/>
      <w:lvlJc w:val="left"/>
      <w:pPr>
        <w:ind w:left="2138" w:hanging="315"/>
      </w:pPr>
      <w:rPr>
        <w:rFonts w:hint="default"/>
      </w:rPr>
    </w:lvl>
    <w:lvl w:ilvl="8" w:tplc="06BA613E">
      <w:numFmt w:val="bullet"/>
      <w:lvlText w:val="•"/>
      <w:lvlJc w:val="left"/>
      <w:pPr>
        <w:ind w:left="2364" w:hanging="315"/>
      </w:pPr>
      <w:rPr>
        <w:rFonts w:hint="default"/>
      </w:rPr>
    </w:lvl>
  </w:abstractNum>
  <w:abstractNum w:abstractNumId="14">
    <w:nsid w:val="769D48F4"/>
    <w:multiLevelType w:val="hybridMultilevel"/>
    <w:tmpl w:val="DE9CBBAA"/>
    <w:lvl w:ilvl="0" w:tplc="FAB8EBE8">
      <w:numFmt w:val="bullet"/>
      <w:lvlText w:val=""/>
      <w:lvlJc w:val="left"/>
      <w:pPr>
        <w:ind w:left="566" w:hanging="570"/>
      </w:pPr>
      <w:rPr>
        <w:rFonts w:ascii="Symbol" w:eastAsia="Symbol" w:hAnsi="Symbol" w:cs="Symbol" w:hint="default"/>
        <w:color w:val="0D0D0D"/>
        <w:w w:val="100"/>
        <w:sz w:val="24"/>
        <w:szCs w:val="24"/>
      </w:rPr>
    </w:lvl>
    <w:lvl w:ilvl="1" w:tplc="E2985D44">
      <w:numFmt w:val="bullet"/>
      <w:lvlText w:val="•"/>
      <w:lvlJc w:val="left"/>
      <w:pPr>
        <w:ind w:left="785" w:hanging="570"/>
      </w:pPr>
      <w:rPr>
        <w:rFonts w:hint="default"/>
      </w:rPr>
    </w:lvl>
    <w:lvl w:ilvl="2" w:tplc="4D424238">
      <w:numFmt w:val="bullet"/>
      <w:lvlText w:val="•"/>
      <w:lvlJc w:val="left"/>
      <w:pPr>
        <w:ind w:left="1011" w:hanging="570"/>
      </w:pPr>
      <w:rPr>
        <w:rFonts w:hint="default"/>
      </w:rPr>
    </w:lvl>
    <w:lvl w:ilvl="3" w:tplc="BEA2003C">
      <w:numFmt w:val="bullet"/>
      <w:lvlText w:val="•"/>
      <w:lvlJc w:val="left"/>
      <w:pPr>
        <w:ind w:left="1236" w:hanging="570"/>
      </w:pPr>
      <w:rPr>
        <w:rFonts w:hint="default"/>
      </w:rPr>
    </w:lvl>
    <w:lvl w:ilvl="4" w:tplc="40EE512E">
      <w:numFmt w:val="bullet"/>
      <w:lvlText w:val="•"/>
      <w:lvlJc w:val="left"/>
      <w:pPr>
        <w:ind w:left="1462" w:hanging="570"/>
      </w:pPr>
      <w:rPr>
        <w:rFonts w:hint="default"/>
      </w:rPr>
    </w:lvl>
    <w:lvl w:ilvl="5" w:tplc="D90C2BAC">
      <w:numFmt w:val="bullet"/>
      <w:lvlText w:val="•"/>
      <w:lvlJc w:val="left"/>
      <w:pPr>
        <w:ind w:left="1687" w:hanging="570"/>
      </w:pPr>
      <w:rPr>
        <w:rFonts w:hint="default"/>
      </w:rPr>
    </w:lvl>
    <w:lvl w:ilvl="6" w:tplc="ED9ABA72">
      <w:numFmt w:val="bullet"/>
      <w:lvlText w:val="•"/>
      <w:lvlJc w:val="left"/>
      <w:pPr>
        <w:ind w:left="1913" w:hanging="570"/>
      </w:pPr>
      <w:rPr>
        <w:rFonts w:hint="default"/>
      </w:rPr>
    </w:lvl>
    <w:lvl w:ilvl="7" w:tplc="3594CED8">
      <w:numFmt w:val="bullet"/>
      <w:lvlText w:val="•"/>
      <w:lvlJc w:val="left"/>
      <w:pPr>
        <w:ind w:left="2138" w:hanging="570"/>
      </w:pPr>
      <w:rPr>
        <w:rFonts w:hint="default"/>
      </w:rPr>
    </w:lvl>
    <w:lvl w:ilvl="8" w:tplc="B73AD484">
      <w:numFmt w:val="bullet"/>
      <w:lvlText w:val="•"/>
      <w:lvlJc w:val="left"/>
      <w:pPr>
        <w:ind w:left="2364" w:hanging="570"/>
      </w:pPr>
      <w:rPr>
        <w:rFonts w:hint="default"/>
      </w:rPr>
    </w:lvl>
  </w:abstractNum>
  <w:abstractNum w:abstractNumId="15">
    <w:nsid w:val="79A75A31"/>
    <w:multiLevelType w:val="hybridMultilevel"/>
    <w:tmpl w:val="ABC8BA42"/>
    <w:lvl w:ilvl="0" w:tplc="0E08B1BE">
      <w:numFmt w:val="bullet"/>
      <w:lvlText w:val=""/>
      <w:lvlJc w:val="left"/>
      <w:pPr>
        <w:ind w:left="568" w:hanging="315"/>
      </w:pPr>
      <w:rPr>
        <w:rFonts w:ascii="Symbol" w:eastAsia="Symbol" w:hAnsi="Symbol" w:cs="Symbol" w:hint="default"/>
        <w:color w:val="0D0D0D"/>
        <w:w w:val="100"/>
        <w:sz w:val="24"/>
        <w:szCs w:val="24"/>
      </w:rPr>
    </w:lvl>
    <w:lvl w:ilvl="1" w:tplc="4468CC74">
      <w:numFmt w:val="bullet"/>
      <w:lvlText w:val="•"/>
      <w:lvlJc w:val="left"/>
      <w:pPr>
        <w:ind w:left="775" w:hanging="315"/>
      </w:pPr>
      <w:rPr>
        <w:rFonts w:hint="default"/>
      </w:rPr>
    </w:lvl>
    <w:lvl w:ilvl="2" w:tplc="39165EF0">
      <w:numFmt w:val="bullet"/>
      <w:lvlText w:val="•"/>
      <w:lvlJc w:val="left"/>
      <w:pPr>
        <w:ind w:left="991" w:hanging="315"/>
      </w:pPr>
      <w:rPr>
        <w:rFonts w:hint="default"/>
      </w:rPr>
    </w:lvl>
    <w:lvl w:ilvl="3" w:tplc="7160CB2C">
      <w:numFmt w:val="bullet"/>
      <w:lvlText w:val="•"/>
      <w:lvlJc w:val="left"/>
      <w:pPr>
        <w:ind w:left="1207" w:hanging="315"/>
      </w:pPr>
      <w:rPr>
        <w:rFonts w:hint="default"/>
      </w:rPr>
    </w:lvl>
    <w:lvl w:ilvl="4" w:tplc="EA88E03C">
      <w:numFmt w:val="bullet"/>
      <w:lvlText w:val="•"/>
      <w:lvlJc w:val="left"/>
      <w:pPr>
        <w:ind w:left="1423" w:hanging="315"/>
      </w:pPr>
      <w:rPr>
        <w:rFonts w:hint="default"/>
      </w:rPr>
    </w:lvl>
    <w:lvl w:ilvl="5" w:tplc="FEAA614C">
      <w:numFmt w:val="bullet"/>
      <w:lvlText w:val="•"/>
      <w:lvlJc w:val="left"/>
      <w:pPr>
        <w:ind w:left="1639" w:hanging="315"/>
      </w:pPr>
      <w:rPr>
        <w:rFonts w:hint="default"/>
      </w:rPr>
    </w:lvl>
    <w:lvl w:ilvl="6" w:tplc="FCA0125A">
      <w:numFmt w:val="bullet"/>
      <w:lvlText w:val="•"/>
      <w:lvlJc w:val="left"/>
      <w:pPr>
        <w:ind w:left="1855" w:hanging="315"/>
      </w:pPr>
      <w:rPr>
        <w:rFonts w:hint="default"/>
      </w:rPr>
    </w:lvl>
    <w:lvl w:ilvl="7" w:tplc="49DA7EFA">
      <w:numFmt w:val="bullet"/>
      <w:lvlText w:val="•"/>
      <w:lvlJc w:val="left"/>
      <w:pPr>
        <w:ind w:left="2071" w:hanging="315"/>
      </w:pPr>
      <w:rPr>
        <w:rFonts w:hint="default"/>
      </w:rPr>
    </w:lvl>
    <w:lvl w:ilvl="8" w:tplc="DFCEA754">
      <w:numFmt w:val="bullet"/>
      <w:lvlText w:val="•"/>
      <w:lvlJc w:val="left"/>
      <w:pPr>
        <w:ind w:left="2287" w:hanging="315"/>
      </w:pPr>
      <w:rPr>
        <w:rFonts w:hint="default"/>
      </w:rPr>
    </w:lvl>
  </w:abstractNum>
  <w:abstractNum w:abstractNumId="16">
    <w:nsid w:val="7A2F3B1D"/>
    <w:multiLevelType w:val="hybridMultilevel"/>
    <w:tmpl w:val="1114970A"/>
    <w:lvl w:ilvl="0" w:tplc="C32AC70C">
      <w:numFmt w:val="bullet"/>
      <w:lvlText w:val=""/>
      <w:lvlJc w:val="left"/>
      <w:pPr>
        <w:ind w:left="568" w:hanging="315"/>
      </w:pPr>
      <w:rPr>
        <w:rFonts w:ascii="Symbol" w:eastAsia="Symbol" w:hAnsi="Symbol" w:cs="Symbol" w:hint="default"/>
        <w:color w:val="0D0D0D"/>
        <w:w w:val="100"/>
        <w:sz w:val="24"/>
        <w:szCs w:val="24"/>
      </w:rPr>
    </w:lvl>
    <w:lvl w:ilvl="1" w:tplc="C622A5AC">
      <w:numFmt w:val="bullet"/>
      <w:lvlText w:val="•"/>
      <w:lvlJc w:val="left"/>
      <w:pPr>
        <w:ind w:left="761" w:hanging="315"/>
      </w:pPr>
      <w:rPr>
        <w:rFonts w:hint="default"/>
      </w:rPr>
    </w:lvl>
    <w:lvl w:ilvl="2" w:tplc="3C026372">
      <w:numFmt w:val="bullet"/>
      <w:lvlText w:val="•"/>
      <w:lvlJc w:val="left"/>
      <w:pPr>
        <w:ind w:left="963" w:hanging="315"/>
      </w:pPr>
      <w:rPr>
        <w:rFonts w:hint="default"/>
      </w:rPr>
    </w:lvl>
    <w:lvl w:ilvl="3" w:tplc="84566226">
      <w:numFmt w:val="bullet"/>
      <w:lvlText w:val="•"/>
      <w:lvlJc w:val="left"/>
      <w:pPr>
        <w:ind w:left="1165" w:hanging="315"/>
      </w:pPr>
      <w:rPr>
        <w:rFonts w:hint="default"/>
      </w:rPr>
    </w:lvl>
    <w:lvl w:ilvl="4" w:tplc="DD8AA018">
      <w:numFmt w:val="bullet"/>
      <w:lvlText w:val="•"/>
      <w:lvlJc w:val="left"/>
      <w:pPr>
        <w:ind w:left="1367" w:hanging="315"/>
      </w:pPr>
      <w:rPr>
        <w:rFonts w:hint="default"/>
      </w:rPr>
    </w:lvl>
    <w:lvl w:ilvl="5" w:tplc="6806184E">
      <w:numFmt w:val="bullet"/>
      <w:lvlText w:val="•"/>
      <w:lvlJc w:val="left"/>
      <w:pPr>
        <w:ind w:left="1568" w:hanging="315"/>
      </w:pPr>
      <w:rPr>
        <w:rFonts w:hint="default"/>
      </w:rPr>
    </w:lvl>
    <w:lvl w:ilvl="6" w:tplc="DFBAA7D6">
      <w:numFmt w:val="bullet"/>
      <w:lvlText w:val="•"/>
      <w:lvlJc w:val="left"/>
      <w:pPr>
        <w:ind w:left="1770" w:hanging="315"/>
      </w:pPr>
      <w:rPr>
        <w:rFonts w:hint="default"/>
      </w:rPr>
    </w:lvl>
    <w:lvl w:ilvl="7" w:tplc="65DE7B3C">
      <w:numFmt w:val="bullet"/>
      <w:lvlText w:val="•"/>
      <w:lvlJc w:val="left"/>
      <w:pPr>
        <w:ind w:left="1972" w:hanging="315"/>
      </w:pPr>
      <w:rPr>
        <w:rFonts w:hint="default"/>
      </w:rPr>
    </w:lvl>
    <w:lvl w:ilvl="8" w:tplc="2F4A72A0">
      <w:numFmt w:val="bullet"/>
      <w:lvlText w:val="•"/>
      <w:lvlJc w:val="left"/>
      <w:pPr>
        <w:ind w:left="2174" w:hanging="315"/>
      </w:pPr>
      <w:rPr>
        <w:rFonts w:hint="default"/>
      </w:rPr>
    </w:lvl>
  </w:abstractNum>
  <w:abstractNum w:abstractNumId="17">
    <w:nsid w:val="7B42640F"/>
    <w:multiLevelType w:val="hybridMultilevel"/>
    <w:tmpl w:val="A63821E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8">
    <w:nsid w:val="7CE53B96"/>
    <w:multiLevelType w:val="hybridMultilevel"/>
    <w:tmpl w:val="45BA7A44"/>
    <w:lvl w:ilvl="0" w:tplc="09DEFA62">
      <w:numFmt w:val="bullet"/>
      <w:lvlText w:val=""/>
      <w:lvlJc w:val="left"/>
      <w:pPr>
        <w:ind w:left="823" w:hanging="360"/>
      </w:pPr>
      <w:rPr>
        <w:rFonts w:ascii="Symbol" w:eastAsia="Symbol" w:hAnsi="Symbol" w:cs="Symbol" w:hint="default"/>
        <w:color w:val="0D0D0D"/>
        <w:w w:val="100"/>
        <w:sz w:val="24"/>
        <w:szCs w:val="24"/>
      </w:rPr>
    </w:lvl>
    <w:lvl w:ilvl="1" w:tplc="33B40B26">
      <w:numFmt w:val="bullet"/>
      <w:lvlText w:val="•"/>
      <w:lvlJc w:val="left"/>
      <w:pPr>
        <w:ind w:left="2222" w:hanging="360"/>
      </w:pPr>
      <w:rPr>
        <w:rFonts w:hint="default"/>
      </w:rPr>
    </w:lvl>
    <w:lvl w:ilvl="2" w:tplc="1D746DFE">
      <w:numFmt w:val="bullet"/>
      <w:lvlText w:val="•"/>
      <w:lvlJc w:val="left"/>
      <w:pPr>
        <w:ind w:left="3624" w:hanging="360"/>
      </w:pPr>
      <w:rPr>
        <w:rFonts w:hint="default"/>
      </w:rPr>
    </w:lvl>
    <w:lvl w:ilvl="3" w:tplc="34AE6810">
      <w:numFmt w:val="bullet"/>
      <w:lvlText w:val="•"/>
      <w:lvlJc w:val="left"/>
      <w:pPr>
        <w:ind w:left="5026" w:hanging="360"/>
      </w:pPr>
      <w:rPr>
        <w:rFonts w:hint="default"/>
      </w:rPr>
    </w:lvl>
    <w:lvl w:ilvl="4" w:tplc="B26A2B1A">
      <w:numFmt w:val="bullet"/>
      <w:lvlText w:val="•"/>
      <w:lvlJc w:val="left"/>
      <w:pPr>
        <w:ind w:left="6428" w:hanging="360"/>
      </w:pPr>
      <w:rPr>
        <w:rFonts w:hint="default"/>
      </w:rPr>
    </w:lvl>
    <w:lvl w:ilvl="5" w:tplc="0DE2E446">
      <w:numFmt w:val="bullet"/>
      <w:lvlText w:val="•"/>
      <w:lvlJc w:val="left"/>
      <w:pPr>
        <w:ind w:left="7830" w:hanging="360"/>
      </w:pPr>
      <w:rPr>
        <w:rFonts w:hint="default"/>
      </w:rPr>
    </w:lvl>
    <w:lvl w:ilvl="6" w:tplc="E97A739C">
      <w:numFmt w:val="bullet"/>
      <w:lvlText w:val="•"/>
      <w:lvlJc w:val="left"/>
      <w:pPr>
        <w:ind w:left="9232" w:hanging="360"/>
      </w:pPr>
      <w:rPr>
        <w:rFonts w:hint="default"/>
      </w:rPr>
    </w:lvl>
    <w:lvl w:ilvl="7" w:tplc="B48278C0">
      <w:numFmt w:val="bullet"/>
      <w:lvlText w:val="•"/>
      <w:lvlJc w:val="left"/>
      <w:pPr>
        <w:ind w:left="10635" w:hanging="360"/>
      </w:pPr>
      <w:rPr>
        <w:rFonts w:hint="default"/>
      </w:rPr>
    </w:lvl>
    <w:lvl w:ilvl="8" w:tplc="EA401E34">
      <w:numFmt w:val="bullet"/>
      <w:lvlText w:val="•"/>
      <w:lvlJc w:val="left"/>
      <w:pPr>
        <w:ind w:left="12037" w:hanging="360"/>
      </w:pPr>
      <w:rPr>
        <w:rFonts w:hint="default"/>
      </w:rPr>
    </w:lvl>
  </w:abstractNum>
  <w:num w:numId="1">
    <w:abstractNumId w:val="8"/>
  </w:num>
  <w:num w:numId="2">
    <w:abstractNumId w:val="18"/>
  </w:num>
  <w:num w:numId="3">
    <w:abstractNumId w:val="0"/>
  </w:num>
  <w:num w:numId="4">
    <w:abstractNumId w:val="10"/>
  </w:num>
  <w:num w:numId="5">
    <w:abstractNumId w:val="16"/>
  </w:num>
  <w:num w:numId="6">
    <w:abstractNumId w:val="15"/>
  </w:num>
  <w:num w:numId="7">
    <w:abstractNumId w:val="13"/>
  </w:num>
  <w:num w:numId="8">
    <w:abstractNumId w:val="14"/>
  </w:num>
  <w:num w:numId="9">
    <w:abstractNumId w:val="2"/>
  </w:num>
  <w:num w:numId="10">
    <w:abstractNumId w:val="4"/>
  </w:num>
  <w:num w:numId="11">
    <w:abstractNumId w:val="12"/>
  </w:num>
  <w:num w:numId="12">
    <w:abstractNumId w:val="9"/>
  </w:num>
  <w:num w:numId="13">
    <w:abstractNumId w:val="11"/>
  </w:num>
  <w:num w:numId="14">
    <w:abstractNumId w:val="7"/>
  </w:num>
  <w:num w:numId="15">
    <w:abstractNumId w:val="6"/>
  </w:num>
  <w:num w:numId="16">
    <w:abstractNumId w:val="1"/>
  </w:num>
  <w:num w:numId="17">
    <w:abstractNumId w:val="5"/>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17"/>
      <w:outlineLvl w:val="0"/>
    </w:pPr>
    <w:rPr>
      <w:b/>
      <w:bCs/>
      <w:sz w:val="36"/>
      <w:szCs w:val="36"/>
    </w:rPr>
  </w:style>
  <w:style w:type="paragraph" w:styleId="Heading2">
    <w:name w:val="heading 2"/>
    <w:basedOn w:val="Normal"/>
    <w:uiPriority w:val="1"/>
    <w:qFormat/>
    <w:pPr>
      <w:ind w:left="102"/>
      <w:outlineLvl w:val="1"/>
    </w:pPr>
    <w:rPr>
      <w:b/>
      <w:bCs/>
      <w:sz w:val="32"/>
      <w:szCs w:val="32"/>
    </w:rPr>
  </w:style>
  <w:style w:type="paragraph" w:styleId="Heading3">
    <w:name w:val="heading 3"/>
    <w:basedOn w:val="Normal"/>
    <w:uiPriority w:val="1"/>
    <w:qFormat/>
    <w:pPr>
      <w:ind w:left="102" w:hanging="257"/>
      <w:outlineLvl w:val="2"/>
    </w:pPr>
    <w:rPr>
      <w:b/>
      <w:bCs/>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17"/>
      <w:outlineLvl w:val="0"/>
    </w:pPr>
    <w:rPr>
      <w:b/>
      <w:bCs/>
      <w:sz w:val="36"/>
      <w:szCs w:val="36"/>
    </w:rPr>
  </w:style>
  <w:style w:type="paragraph" w:styleId="Heading2">
    <w:name w:val="heading 2"/>
    <w:basedOn w:val="Normal"/>
    <w:uiPriority w:val="1"/>
    <w:qFormat/>
    <w:pPr>
      <w:ind w:left="102"/>
      <w:outlineLvl w:val="1"/>
    </w:pPr>
    <w:rPr>
      <w:b/>
      <w:bCs/>
      <w:sz w:val="32"/>
      <w:szCs w:val="32"/>
    </w:rPr>
  </w:style>
  <w:style w:type="paragraph" w:styleId="Heading3">
    <w:name w:val="heading 3"/>
    <w:basedOn w:val="Normal"/>
    <w:uiPriority w:val="1"/>
    <w:qFormat/>
    <w:pPr>
      <w:ind w:left="102" w:hanging="257"/>
      <w:outlineLvl w:val="2"/>
    </w:pPr>
    <w:rPr>
      <w:b/>
      <w:bCs/>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PP ATTENDANCE %</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2016-2017</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Sheet1!$B$2:$B$8</c:f>
              <c:numCache>
                <c:formatCode>General</c:formatCode>
                <c:ptCount val="7"/>
                <c:pt idx="0">
                  <c:v>93.5</c:v>
                </c:pt>
                <c:pt idx="1">
                  <c:v>92.6</c:v>
                </c:pt>
                <c:pt idx="2">
                  <c:v>88.1</c:v>
                </c:pt>
                <c:pt idx="3">
                  <c:v>89.3</c:v>
                </c:pt>
                <c:pt idx="4">
                  <c:v>80.5</c:v>
                </c:pt>
                <c:pt idx="5">
                  <c:v>91.7</c:v>
                </c:pt>
                <c:pt idx="6">
                  <c:v>85.8</c:v>
                </c:pt>
              </c:numCache>
            </c:numRef>
          </c:val>
          <c:extLst xmlns:c16r2="http://schemas.microsoft.com/office/drawing/2015/06/chart">
            <c:ext xmlns:c16="http://schemas.microsoft.com/office/drawing/2014/chart" uri="{C3380CC4-5D6E-409C-BE32-E72D297353CC}">
              <c16:uniqueId val="{00000000-64F6-4DBD-A80C-A82496096305}"/>
            </c:ext>
          </c:extLst>
        </c:ser>
        <c:ser>
          <c:idx val="1"/>
          <c:order val="1"/>
          <c:tx>
            <c:strRef>
              <c:f>Sheet1!$C$1</c:f>
              <c:strCache>
                <c:ptCount val="1"/>
                <c:pt idx="0">
                  <c:v>2017-2018</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Sheet1!$C$2:$C$8</c:f>
              <c:numCache>
                <c:formatCode>General</c:formatCode>
                <c:ptCount val="7"/>
                <c:pt idx="0">
                  <c:v>90.2</c:v>
                </c:pt>
                <c:pt idx="1">
                  <c:v>92</c:v>
                </c:pt>
                <c:pt idx="2">
                  <c:v>88.8</c:v>
                </c:pt>
                <c:pt idx="3">
                  <c:v>86.4</c:v>
                </c:pt>
                <c:pt idx="4">
                  <c:v>84.5</c:v>
                </c:pt>
                <c:pt idx="5">
                  <c:v>94.6</c:v>
                </c:pt>
                <c:pt idx="6">
                  <c:v>86</c:v>
                </c:pt>
              </c:numCache>
            </c:numRef>
          </c:val>
          <c:extLst xmlns:c16r2="http://schemas.microsoft.com/office/drawing/2015/06/chart">
            <c:ext xmlns:c16="http://schemas.microsoft.com/office/drawing/2014/chart" uri="{C3380CC4-5D6E-409C-BE32-E72D297353CC}">
              <c16:uniqueId val="{00000001-64F6-4DBD-A80C-A82496096305}"/>
            </c:ext>
          </c:extLst>
        </c:ser>
        <c:ser>
          <c:idx val="2"/>
          <c:order val="2"/>
          <c:tx>
            <c:strRef>
              <c:f>Sheet1!$D$1</c:f>
              <c:strCache>
                <c:ptCount val="1"/>
                <c:pt idx="0">
                  <c:v>2018-2019</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Sheet1!$D$2:$D$8</c:f>
              <c:numCache>
                <c:formatCode>General</c:formatCode>
                <c:ptCount val="7"/>
                <c:pt idx="0">
                  <c:v>91.3</c:v>
                </c:pt>
                <c:pt idx="1">
                  <c:v>90.4</c:v>
                </c:pt>
                <c:pt idx="2">
                  <c:v>91</c:v>
                </c:pt>
                <c:pt idx="3">
                  <c:v>88.9</c:v>
                </c:pt>
                <c:pt idx="4">
                  <c:v>80.400000000000006</c:v>
                </c:pt>
                <c:pt idx="5">
                  <c:v>94.1</c:v>
                </c:pt>
                <c:pt idx="6">
                  <c:v>86.8</c:v>
                </c:pt>
              </c:numCache>
            </c:numRef>
          </c:val>
          <c:extLst xmlns:c16r2="http://schemas.microsoft.com/office/drawing/2015/06/chart">
            <c:ext xmlns:c16="http://schemas.microsoft.com/office/drawing/2014/chart" uri="{C3380CC4-5D6E-409C-BE32-E72D297353CC}">
              <c16:uniqueId val="{00000002-64F6-4DBD-A80C-A82496096305}"/>
            </c:ext>
          </c:extLst>
        </c:ser>
        <c:dLbls>
          <c:dLblPos val="outEnd"/>
          <c:showLegendKey val="0"/>
          <c:showVal val="1"/>
          <c:showCatName val="0"/>
          <c:showSerName val="0"/>
          <c:showPercent val="0"/>
          <c:showBubbleSize val="0"/>
        </c:dLbls>
        <c:gapWidth val="444"/>
        <c:overlap val="-90"/>
        <c:axId val="24396544"/>
        <c:axId val="24398080"/>
      </c:barChart>
      <c:catAx>
        <c:axId val="24396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4398080"/>
        <c:crosses val="autoZero"/>
        <c:auto val="1"/>
        <c:lblAlgn val="ctr"/>
        <c:lblOffset val="100"/>
        <c:noMultiLvlLbl val="0"/>
      </c:catAx>
      <c:valAx>
        <c:axId val="24398080"/>
        <c:scaling>
          <c:orientation val="minMax"/>
        </c:scaling>
        <c:delete val="1"/>
        <c:axPos val="l"/>
        <c:numFmt formatCode="General" sourceLinked="1"/>
        <c:majorTickMark val="none"/>
        <c:minorTickMark val="none"/>
        <c:tickLblPos val="nextTo"/>
        <c:crossAx val="243965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Ellesmere Port Catholic High School</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Mrs Hartley (AHA)</cp:lastModifiedBy>
  <cp:revision>4</cp:revision>
  <dcterms:created xsi:type="dcterms:W3CDTF">2019-11-25T15:01:00Z</dcterms:created>
  <dcterms:modified xsi:type="dcterms:W3CDTF">2019-11-25T15:02:00Z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2018-11-08T00:00:00Z</vt:filetime>
  </property>
</Properties>
</file>